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20849" w14:textId="77777777" w:rsidR="00413FDB" w:rsidRPr="005A3363" w:rsidRDefault="00413FDB" w:rsidP="00A15D80">
      <w:pPr>
        <w:spacing w:line="360" w:lineRule="auto"/>
        <w:ind w:left="-720" w:right="-720" w:firstLine="720"/>
        <w:jc w:val="both"/>
        <w:rPr>
          <w:rFonts w:ascii="Trebuchet MS" w:eastAsia="Trebuchet MS" w:hAnsi="Trebuchet MS"/>
          <w:b/>
          <w:sz w:val="12"/>
          <w:szCs w:val="12"/>
        </w:rPr>
      </w:pPr>
    </w:p>
    <w:p w14:paraId="3579016F" w14:textId="492215A9" w:rsidR="00903DFD" w:rsidRPr="005A3363" w:rsidRDefault="00903DFD" w:rsidP="00903DFD">
      <w:pPr>
        <w:spacing w:after="160" w:line="360" w:lineRule="auto"/>
        <w:jc w:val="right"/>
        <w:rPr>
          <w:rFonts w:ascii="Times New Roman" w:hAnsi="Times New Roman" w:cs="Times New Roman"/>
          <w:i/>
          <w:sz w:val="24"/>
          <w:szCs w:val="24"/>
          <w:lang w:eastAsia="en-US"/>
        </w:rPr>
      </w:pPr>
      <w:r w:rsidRPr="005A3363">
        <w:rPr>
          <w:rFonts w:ascii="Times New Roman" w:hAnsi="Times New Roman" w:cs="Times New Roman"/>
          <w:i/>
          <w:sz w:val="24"/>
          <w:szCs w:val="24"/>
          <w:lang w:eastAsia="en-US"/>
        </w:rPr>
        <w:t xml:space="preserve">ANEXA </w:t>
      </w:r>
      <w:r w:rsidR="00C477BC">
        <w:rPr>
          <w:rFonts w:ascii="Times New Roman" w:hAnsi="Times New Roman" w:cs="Times New Roman"/>
          <w:i/>
          <w:sz w:val="24"/>
          <w:szCs w:val="24"/>
          <w:lang w:eastAsia="en-US"/>
        </w:rPr>
        <w:t>1</w:t>
      </w:r>
      <w:r w:rsidR="00F21212">
        <w:rPr>
          <w:rFonts w:ascii="Times New Roman" w:hAnsi="Times New Roman" w:cs="Times New Roman"/>
          <w:i/>
          <w:sz w:val="24"/>
          <w:szCs w:val="24"/>
          <w:lang w:eastAsia="en-US"/>
        </w:rPr>
        <w:t>4</w:t>
      </w:r>
    </w:p>
    <w:p w14:paraId="7E38CA79" w14:textId="3F2E45D0" w:rsidR="00903DFD" w:rsidRPr="005A3363" w:rsidRDefault="00903DFD" w:rsidP="00903DFD">
      <w:pPr>
        <w:spacing w:after="160" w:line="360" w:lineRule="auto"/>
        <w:jc w:val="center"/>
        <w:rPr>
          <w:rFonts w:ascii="Times New Roman" w:hAnsi="Times New Roman" w:cs="Times New Roman"/>
          <w:i/>
          <w:sz w:val="32"/>
          <w:szCs w:val="24"/>
          <w:lang w:eastAsia="en-US"/>
        </w:rPr>
      </w:pPr>
      <w:bookmarkStart w:id="0" w:name="_Hlk8220844"/>
      <w:r w:rsidRPr="005A3363">
        <w:rPr>
          <w:rFonts w:ascii="Times New Roman" w:hAnsi="Times New Roman" w:cs="Times New Roman"/>
          <w:i/>
          <w:sz w:val="32"/>
          <w:szCs w:val="24"/>
          <w:lang w:eastAsia="en-US"/>
        </w:rPr>
        <w:t>REGULAMENT DE ORGANIZARE SI FUNCTIONARE A COMITETULUI DE EVALUARE SI SELECTIE SI A COMI</w:t>
      </w:r>
      <w:r w:rsidR="00815F9B">
        <w:rPr>
          <w:rFonts w:ascii="Times New Roman" w:hAnsi="Times New Roman" w:cs="Times New Roman"/>
          <w:i/>
          <w:sz w:val="32"/>
          <w:szCs w:val="24"/>
          <w:lang w:eastAsia="en-US"/>
        </w:rPr>
        <w:t>TETULUI</w:t>
      </w:r>
      <w:r w:rsidRPr="005A3363">
        <w:rPr>
          <w:rFonts w:ascii="Times New Roman" w:hAnsi="Times New Roman" w:cs="Times New Roman"/>
          <w:i/>
          <w:sz w:val="32"/>
          <w:szCs w:val="24"/>
          <w:lang w:eastAsia="en-US"/>
        </w:rPr>
        <w:t xml:space="preserve"> DE SOLUŢIONARE CONTESTATII LA NIVELUL GAL</w:t>
      </w:r>
      <w:bookmarkEnd w:id="0"/>
    </w:p>
    <w:p w14:paraId="61A49C1A" w14:textId="77777777" w:rsidR="00413FDB" w:rsidRPr="005A3363" w:rsidRDefault="00413FDB" w:rsidP="00A15D80">
      <w:pPr>
        <w:spacing w:line="360" w:lineRule="auto"/>
        <w:ind w:left="-720" w:right="-720" w:firstLine="720"/>
        <w:jc w:val="both"/>
        <w:rPr>
          <w:rFonts w:ascii="Trebuchet MS" w:eastAsia="Trebuchet MS" w:hAnsi="Trebuchet MS"/>
          <w:b/>
          <w:sz w:val="12"/>
          <w:szCs w:val="12"/>
        </w:rPr>
      </w:pPr>
    </w:p>
    <w:p w14:paraId="03058B82" w14:textId="77777777" w:rsidR="00413FDB" w:rsidRPr="005A3363" w:rsidRDefault="00413FDB" w:rsidP="00A15D80">
      <w:pPr>
        <w:spacing w:line="360" w:lineRule="auto"/>
        <w:ind w:left="-720" w:right="-720" w:firstLine="720"/>
        <w:jc w:val="both"/>
        <w:rPr>
          <w:rFonts w:ascii="Trebuchet MS" w:eastAsia="Trebuchet MS" w:hAnsi="Trebuchet MS"/>
          <w:b/>
          <w:sz w:val="12"/>
          <w:szCs w:val="12"/>
        </w:rPr>
      </w:pPr>
    </w:p>
    <w:p w14:paraId="4CFD2463" w14:textId="77777777" w:rsidR="005A3363" w:rsidRPr="005A3363" w:rsidRDefault="005A3363" w:rsidP="00A15D80">
      <w:pPr>
        <w:spacing w:line="360" w:lineRule="auto"/>
        <w:ind w:left="-720" w:right="-720" w:firstLine="720"/>
        <w:jc w:val="center"/>
        <w:rPr>
          <w:rFonts w:ascii="Trebuchet MS" w:eastAsia="Trebuchet MS" w:hAnsi="Trebuchet MS"/>
          <w:b/>
          <w:sz w:val="12"/>
          <w:szCs w:val="12"/>
        </w:rPr>
      </w:pPr>
    </w:p>
    <w:p w14:paraId="101E48AD" w14:textId="42C7EB3A" w:rsidR="005A3363" w:rsidRDefault="005A3363" w:rsidP="00B7187F">
      <w:pPr>
        <w:rPr>
          <w:rFonts w:ascii="Trebuchet MS" w:hAnsi="Trebuchet MS"/>
          <w:sz w:val="24"/>
          <w:szCs w:val="24"/>
        </w:rPr>
      </w:pPr>
      <w:r w:rsidRPr="00B7187F">
        <w:rPr>
          <w:rFonts w:ascii="Trebuchet MS" w:hAnsi="Trebuchet MS"/>
          <w:sz w:val="24"/>
          <w:szCs w:val="24"/>
          <w:highlight w:val="lightGray"/>
        </w:rPr>
        <w:t>1. Componența Comitetul de Evaluare şi Selecţie și a Comi</w:t>
      </w:r>
      <w:r w:rsidR="00815F9B">
        <w:rPr>
          <w:rFonts w:ascii="Trebuchet MS" w:hAnsi="Trebuchet MS"/>
          <w:sz w:val="24"/>
          <w:szCs w:val="24"/>
          <w:highlight w:val="lightGray"/>
        </w:rPr>
        <w:t>tetului</w:t>
      </w:r>
      <w:r w:rsidRPr="00B7187F">
        <w:rPr>
          <w:rFonts w:ascii="Trebuchet MS" w:hAnsi="Trebuchet MS"/>
          <w:sz w:val="24"/>
          <w:szCs w:val="24"/>
          <w:highlight w:val="lightGray"/>
        </w:rPr>
        <w:t xml:space="preserve"> de Soluţionare a Contestațiilor</w:t>
      </w:r>
    </w:p>
    <w:p w14:paraId="40B5E408" w14:textId="77777777" w:rsidR="00B7187F" w:rsidRPr="00B7187F" w:rsidRDefault="00B7187F" w:rsidP="00B7187F">
      <w:pPr>
        <w:rPr>
          <w:rFonts w:ascii="Trebuchet MS" w:hAnsi="Trebuchet MS"/>
          <w:sz w:val="24"/>
          <w:szCs w:val="24"/>
        </w:rPr>
      </w:pPr>
    </w:p>
    <w:p w14:paraId="64C2A901"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Comitetul de Evaluare şi Selecție a fișelor de proiecte reprezintă forul decizional. Comitetul de Evaluare şi selecție a fișelor de proiecte constituit în cadrul GAL va respecta componența şi structura prevăzută în SDL aprobată. La nivelul luării deciziilor, reprezentanții organizațiilor ce provin din mediul privat, societatea civilă şi persoane fizice relevante au o pondere de 79, % conform SDL aprobat şi a variantei actualizate a Statutului GAL.</w:t>
      </w:r>
    </w:p>
    <w:p w14:paraId="1ADA7A42"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ab/>
        <w:t xml:space="preserve">Comitetul de Evaluare şi selecție a proiectelor este ales de Adunarea Generală. Modificarea componenței Comitetului de selecție/Comitetului de soluționare a contestațiilor  se poate realiza ori de câte ori este nevoie doar cu avizul Organismul Intermediar Regional pentru Programe Europene Capital Uman Regiunea Sud Est. Astfel, Grupul de Acțiune Locală transmite noua componență a Comitetului de selecție/Comitetului de soluționare contestații împreună cu documentele statutare ale persoanelor juridice parte a comitetelor. Organismul Intermediar Regional pentru Programe Europene Capital Uman Regiunea Sud Est verifică îndeplinirea condițiilor de constituire a comitetelor și avizează noua componență a acestora. </w:t>
      </w:r>
    </w:p>
    <w:p w14:paraId="4A910939" w14:textId="77777777" w:rsidR="00F21212" w:rsidRPr="00F21212" w:rsidRDefault="00F21212" w:rsidP="00F21212">
      <w:pPr>
        <w:spacing w:line="360" w:lineRule="auto"/>
        <w:ind w:firstLine="720"/>
        <w:jc w:val="both"/>
        <w:rPr>
          <w:rFonts w:ascii="Times New Roman" w:hAnsi="Times New Roman" w:cs="Times New Roman"/>
          <w:sz w:val="24"/>
          <w:szCs w:val="24"/>
          <w:lang w:eastAsia="en-US"/>
        </w:rPr>
      </w:pPr>
      <w:r w:rsidRPr="00F21212">
        <w:rPr>
          <w:rFonts w:ascii="Trebuchet MS" w:hAnsi="Trebuchet MS" w:cs="Times New Roman"/>
          <w:sz w:val="24"/>
          <w:szCs w:val="24"/>
          <w:lang w:eastAsia="en-US"/>
        </w:rPr>
        <w:t>Comitetele nou constituite nu pot derula nicio activitate specifică procesului de evaluare și selecție a Fișelor de proiecte anterior avizului emis de Organismul Intermediar Regional pentru Programe Europene Capital Uman Regiunea Sud Est.</w:t>
      </w:r>
      <w:r w:rsidRPr="00F21212">
        <w:rPr>
          <w:rFonts w:ascii="Times New Roman" w:hAnsi="Times New Roman" w:cs="Times New Roman"/>
          <w:sz w:val="24"/>
          <w:szCs w:val="24"/>
          <w:lang w:eastAsia="en-US"/>
        </w:rPr>
        <w:t xml:space="preserve"> </w:t>
      </w:r>
      <w:r w:rsidRPr="00F21212">
        <w:rPr>
          <w:rFonts w:ascii="Trebuchet MS" w:hAnsi="Trebuchet MS" w:cs="Times New Roman"/>
          <w:sz w:val="24"/>
          <w:szCs w:val="24"/>
          <w:lang w:eastAsia="en-US"/>
        </w:rPr>
        <w:t>Comitetul de Evaluare şi Selecţie este format din 5 membri evaluatori ai parteneriatului GAL. Selecţia  proiectelor  se  face  aplicând  regula  de  „dublu  cvorum”,  respectiv  pentru  validarea voturilor, este  necesar  ca în  momentul  selecţiei  să fie  prezenţi  cel  puţin  50%  din  membrii Comitetului de selecţie, din care peste 50% să fie din mediul privat şi societatea civilă</w:t>
      </w:r>
      <w:r w:rsidRPr="00F21212">
        <w:rPr>
          <w:rFonts w:ascii="Times New Roman" w:hAnsi="Times New Roman" w:cs="Times New Roman"/>
          <w:sz w:val="24"/>
          <w:szCs w:val="24"/>
          <w:lang w:eastAsia="en-US"/>
        </w:rPr>
        <w:t xml:space="preserve">. </w:t>
      </w:r>
    </w:p>
    <w:p w14:paraId="391BA1FB"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lastRenderedPageBreak/>
        <w:tab/>
        <w:t>Dacă unul dintre membrii evaluatori din Comitetul de Evaluare şi Selecţie  constată că se află într-o situație de conflict de interese în raport cu unul dintre solicitanții proiectelor depuse pentru selecție, acesta nu are drept de vot și nu va participa la întâlnirea comitetului respectiv.</w:t>
      </w:r>
    </w:p>
    <w:p w14:paraId="7421DE97"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ab/>
        <w:t>Conform procedurii, pentru a evita conflictul de interese, toate persoanele implicate la nivelul GAL în evaluarea și selecția fișelor de proiecte (membri Comitetului de selecție; membri Comitetului de Soluționare Contestații; personal tehnic (evaluatori); membri Comitetului director) vor trebui  să completeze o  declarație privind evitarea conflictului  de interese.</w:t>
      </w:r>
    </w:p>
    <w:p w14:paraId="52C99BB6" w14:textId="77777777" w:rsidR="00F21212" w:rsidRPr="00F21212" w:rsidRDefault="005A3363" w:rsidP="00F21212">
      <w:pPr>
        <w:spacing w:line="360" w:lineRule="auto"/>
        <w:jc w:val="both"/>
        <w:rPr>
          <w:rFonts w:ascii="Trebuchet MS" w:hAnsi="Trebuchet MS" w:cs="Times New Roman"/>
          <w:sz w:val="24"/>
          <w:szCs w:val="24"/>
          <w:lang w:eastAsia="en-US"/>
        </w:rPr>
      </w:pPr>
      <w:r w:rsidRPr="005A3363">
        <w:rPr>
          <w:rFonts w:ascii="Trebuchet MS" w:hAnsi="Trebuchet MS" w:cs="Times New Roman"/>
          <w:sz w:val="24"/>
          <w:szCs w:val="24"/>
          <w:lang w:eastAsia="en-US"/>
        </w:rPr>
        <w:tab/>
      </w:r>
      <w:r w:rsidR="00F21212" w:rsidRPr="00F21212">
        <w:rPr>
          <w:rFonts w:ascii="Trebuchet MS" w:hAnsi="Trebuchet MS" w:cs="Times New Roman"/>
          <w:sz w:val="24"/>
          <w:szCs w:val="24"/>
          <w:lang w:eastAsia="en-US"/>
        </w:rPr>
        <w:t>Conform procedurii, pentru a evita conflictul de interese, membrii evaluatori ai Comitetului de Evaluare şi Selecţie vor semna următoarele declaraţii:</w:t>
      </w:r>
    </w:p>
    <w:p w14:paraId="1B67837D"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 Declaraţia privind evitarea conflictului de interese – Anexa nr. 9 la procedură;</w:t>
      </w:r>
    </w:p>
    <w:p w14:paraId="6D2C1B3D"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 Declaraţia de confidenţialitate – Anexa nr. 8 la procedură;</w:t>
      </w:r>
    </w:p>
    <w:p w14:paraId="54F11233" w14:textId="75979204" w:rsidR="005A3363" w:rsidRPr="005A3363" w:rsidRDefault="005A3363" w:rsidP="00F21212">
      <w:pPr>
        <w:spacing w:line="360" w:lineRule="auto"/>
        <w:jc w:val="both"/>
        <w:rPr>
          <w:rFonts w:ascii="Trebuchet MS" w:hAnsi="Trebuchet MS" w:cs="Times New Roman"/>
          <w:sz w:val="24"/>
          <w:szCs w:val="24"/>
          <w:lang w:eastAsia="en-US"/>
        </w:rPr>
      </w:pPr>
    </w:p>
    <w:p w14:paraId="3F54115C" w14:textId="77777777" w:rsidR="005A3363" w:rsidRPr="005A3363" w:rsidRDefault="005A3363" w:rsidP="00F21212">
      <w:pPr>
        <w:shd w:val="clear" w:color="auto" w:fill="BDD6EE" w:themeFill="accent5" w:themeFillTint="66"/>
        <w:spacing w:line="360" w:lineRule="auto"/>
        <w:ind w:left="426"/>
        <w:outlineLvl w:val="0"/>
        <w:rPr>
          <w:rFonts w:ascii="Trebuchet MS" w:hAnsi="Trebuchet MS" w:cs="Times New Roman"/>
          <w:i/>
          <w:sz w:val="24"/>
          <w:szCs w:val="24"/>
          <w:lang w:eastAsia="en-US"/>
        </w:rPr>
      </w:pPr>
      <w:r w:rsidRPr="00F21212">
        <w:rPr>
          <w:rFonts w:ascii="Trebuchet MS" w:hAnsi="Trebuchet MS" w:cs="Times New Roman"/>
          <w:i/>
          <w:sz w:val="24"/>
          <w:szCs w:val="24"/>
          <w:lang w:eastAsia="en-US"/>
        </w:rPr>
        <w:t>A. Componența și obligațiile Comitetului de Evaluare şi Selecţie :</w:t>
      </w:r>
      <w:r w:rsidRPr="005A3363">
        <w:rPr>
          <w:rFonts w:ascii="Trebuchet MS" w:hAnsi="Trebuchet MS" w:cs="Times New Roman"/>
          <w:i/>
          <w:sz w:val="24"/>
          <w:szCs w:val="24"/>
          <w:lang w:eastAsia="en-US"/>
        </w:rPr>
        <w:t xml:space="preserve"> </w:t>
      </w:r>
    </w:p>
    <w:tbl>
      <w:tblPr>
        <w:tblStyle w:val="TableGrid1"/>
        <w:tblW w:w="9747" w:type="dxa"/>
        <w:tblLook w:val="04A0" w:firstRow="1" w:lastRow="0" w:firstColumn="1" w:lastColumn="0" w:noHBand="0" w:noVBand="1"/>
      </w:tblPr>
      <w:tblGrid>
        <w:gridCol w:w="1121"/>
        <w:gridCol w:w="2815"/>
        <w:gridCol w:w="2835"/>
        <w:gridCol w:w="2976"/>
      </w:tblGrid>
      <w:tr w:rsidR="005A3363" w:rsidRPr="005A3363" w14:paraId="322018CD" w14:textId="77777777" w:rsidTr="0020019F">
        <w:trPr>
          <w:trHeight w:val="453"/>
        </w:trPr>
        <w:tc>
          <w:tcPr>
            <w:tcW w:w="1121" w:type="dxa"/>
          </w:tcPr>
          <w:p w14:paraId="172AC04E" w14:textId="77777777" w:rsidR="005A3363" w:rsidRPr="005A3363" w:rsidRDefault="005A3363" w:rsidP="005A3363">
            <w:pPr>
              <w:jc w:val="center"/>
              <w:rPr>
                <w:rFonts w:ascii="Trebuchet MS" w:hAnsi="Trebuchet MS" w:cs="Times New Roman"/>
                <w:b/>
              </w:rPr>
            </w:pPr>
            <w:r w:rsidRPr="005A3363">
              <w:rPr>
                <w:rFonts w:ascii="Trebuchet MS" w:hAnsi="Trebuchet MS" w:cs="Times New Roman"/>
                <w:b/>
              </w:rPr>
              <w:t>Partener</w:t>
            </w:r>
          </w:p>
        </w:tc>
        <w:tc>
          <w:tcPr>
            <w:tcW w:w="2815" w:type="dxa"/>
          </w:tcPr>
          <w:p w14:paraId="5E20278E" w14:textId="77777777" w:rsidR="005A3363" w:rsidRPr="005A3363" w:rsidRDefault="005A3363" w:rsidP="005A3363">
            <w:pPr>
              <w:jc w:val="center"/>
              <w:rPr>
                <w:rFonts w:ascii="Trebuchet MS" w:hAnsi="Trebuchet MS" w:cs="Times New Roman"/>
                <w:b/>
              </w:rPr>
            </w:pPr>
            <w:r w:rsidRPr="005A3363">
              <w:rPr>
                <w:rFonts w:ascii="Trebuchet MS" w:hAnsi="Trebuchet MS" w:cs="Times New Roman"/>
                <w:b/>
              </w:rPr>
              <w:t xml:space="preserve">Funcţia în Comitetul de </w:t>
            </w:r>
          </w:p>
          <w:p w14:paraId="129A6DC5" w14:textId="77777777" w:rsidR="005A3363" w:rsidRPr="005A3363" w:rsidRDefault="005A3363" w:rsidP="005A3363">
            <w:pPr>
              <w:jc w:val="center"/>
              <w:rPr>
                <w:rFonts w:ascii="Trebuchet MS" w:hAnsi="Trebuchet MS" w:cs="Times New Roman"/>
                <w:b/>
              </w:rPr>
            </w:pPr>
            <w:r w:rsidRPr="005A3363">
              <w:rPr>
                <w:rFonts w:ascii="Trebuchet MS" w:hAnsi="Trebuchet MS" w:cs="Times New Roman"/>
                <w:b/>
              </w:rPr>
              <w:t>Evaluare şi Selecţie</w:t>
            </w:r>
          </w:p>
        </w:tc>
        <w:tc>
          <w:tcPr>
            <w:tcW w:w="5811" w:type="dxa"/>
            <w:gridSpan w:val="2"/>
          </w:tcPr>
          <w:p w14:paraId="4971E9B8" w14:textId="77777777" w:rsidR="005A3363" w:rsidRPr="005A3363" w:rsidRDefault="005A3363" w:rsidP="005A3363">
            <w:pPr>
              <w:jc w:val="center"/>
              <w:rPr>
                <w:rFonts w:ascii="Trebuchet MS" w:hAnsi="Trebuchet MS" w:cs="Times New Roman"/>
                <w:b/>
              </w:rPr>
            </w:pPr>
            <w:r w:rsidRPr="005A3363">
              <w:rPr>
                <w:rFonts w:ascii="Trebuchet MS" w:hAnsi="Trebuchet MS" w:cs="Times New Roman"/>
                <w:b/>
              </w:rPr>
              <w:t>Tip /Observaţii</w:t>
            </w:r>
          </w:p>
        </w:tc>
      </w:tr>
      <w:tr w:rsidR="005A3363" w:rsidRPr="005A3363" w14:paraId="23EDAC21" w14:textId="77777777" w:rsidTr="0020019F">
        <w:trPr>
          <w:trHeight w:val="495"/>
        </w:trPr>
        <w:tc>
          <w:tcPr>
            <w:tcW w:w="1121" w:type="dxa"/>
          </w:tcPr>
          <w:p w14:paraId="14644BF7" w14:textId="77777777" w:rsidR="005A3363" w:rsidRPr="005A3363" w:rsidRDefault="005A3363" w:rsidP="005A3363">
            <w:pPr>
              <w:jc w:val="center"/>
              <w:rPr>
                <w:rFonts w:ascii="Trebuchet MS" w:hAnsi="Trebuchet MS" w:cs="Times New Roman"/>
              </w:rPr>
            </w:pPr>
          </w:p>
        </w:tc>
        <w:tc>
          <w:tcPr>
            <w:tcW w:w="2815" w:type="dxa"/>
          </w:tcPr>
          <w:p w14:paraId="66C2EDE3" w14:textId="77777777" w:rsidR="005A3363" w:rsidRPr="005A3363" w:rsidRDefault="005A3363" w:rsidP="005A3363">
            <w:pPr>
              <w:jc w:val="center"/>
              <w:rPr>
                <w:rFonts w:ascii="Trebuchet MS" w:hAnsi="Trebuchet MS" w:cs="Times New Roman"/>
              </w:rPr>
            </w:pPr>
          </w:p>
        </w:tc>
        <w:tc>
          <w:tcPr>
            <w:tcW w:w="2835" w:type="dxa"/>
            <w:shd w:val="clear" w:color="auto" w:fill="auto"/>
          </w:tcPr>
          <w:p w14:paraId="5F2D0F48" w14:textId="77777777" w:rsidR="005A3363" w:rsidRPr="005A3363" w:rsidRDefault="005A3363" w:rsidP="005A3363">
            <w:pPr>
              <w:jc w:val="both"/>
              <w:rPr>
                <w:rFonts w:ascii="Trebuchet MS" w:hAnsi="Trebuchet MS" w:cs="Times New Roman"/>
              </w:rPr>
            </w:pPr>
            <w:r w:rsidRPr="005A3363">
              <w:rPr>
                <w:rFonts w:ascii="Trebuchet MS" w:hAnsi="Trebuchet MS" w:cs="Times New Roman"/>
              </w:rPr>
              <w:t>Parteneri Publici 20%</w:t>
            </w:r>
          </w:p>
        </w:tc>
        <w:tc>
          <w:tcPr>
            <w:tcW w:w="2976" w:type="dxa"/>
          </w:tcPr>
          <w:p w14:paraId="5EB0139F" w14:textId="77777777" w:rsidR="005A3363" w:rsidRPr="005A3363" w:rsidRDefault="005A3363" w:rsidP="005A3363">
            <w:pPr>
              <w:rPr>
                <w:rFonts w:ascii="Trebuchet MS" w:hAnsi="Trebuchet MS" w:cs="Times New Roman"/>
              </w:rPr>
            </w:pPr>
            <w:r w:rsidRPr="005A3363">
              <w:rPr>
                <w:rFonts w:ascii="Trebuchet MS" w:hAnsi="Trebuchet MS" w:cs="Times New Roman"/>
              </w:rPr>
              <w:t>Reprezentant al sectorului public</w:t>
            </w:r>
          </w:p>
        </w:tc>
      </w:tr>
      <w:tr w:rsidR="005A3363" w:rsidRPr="0020019F" w14:paraId="6FD01A16" w14:textId="77777777" w:rsidTr="0020019F">
        <w:trPr>
          <w:trHeight w:val="402"/>
        </w:trPr>
        <w:tc>
          <w:tcPr>
            <w:tcW w:w="1121" w:type="dxa"/>
          </w:tcPr>
          <w:p w14:paraId="6FF14102" w14:textId="77777777" w:rsidR="005A3363" w:rsidRPr="005A3363" w:rsidRDefault="005A3363" w:rsidP="005A3363">
            <w:pPr>
              <w:jc w:val="center"/>
              <w:rPr>
                <w:rFonts w:ascii="Trebuchet MS" w:hAnsi="Trebuchet MS" w:cs="Times New Roman"/>
              </w:rPr>
            </w:pPr>
          </w:p>
        </w:tc>
        <w:tc>
          <w:tcPr>
            <w:tcW w:w="2815" w:type="dxa"/>
          </w:tcPr>
          <w:p w14:paraId="1557CD76" w14:textId="77777777" w:rsidR="005A3363" w:rsidRPr="005A3363" w:rsidRDefault="005A3363" w:rsidP="005A3363">
            <w:pPr>
              <w:jc w:val="center"/>
              <w:rPr>
                <w:rFonts w:ascii="Trebuchet MS" w:hAnsi="Trebuchet MS" w:cs="Times New Roman"/>
              </w:rPr>
            </w:pPr>
          </w:p>
        </w:tc>
        <w:tc>
          <w:tcPr>
            <w:tcW w:w="2835" w:type="dxa"/>
            <w:shd w:val="clear" w:color="auto" w:fill="auto"/>
          </w:tcPr>
          <w:p w14:paraId="6471D25A" w14:textId="77777777" w:rsidR="005A3363" w:rsidRPr="005A3363" w:rsidRDefault="005A3363" w:rsidP="005A3363">
            <w:pPr>
              <w:rPr>
                <w:rFonts w:ascii="Trebuchet MS" w:hAnsi="Trebuchet MS" w:cs="Times New Roman"/>
              </w:rPr>
            </w:pPr>
            <w:r w:rsidRPr="005A3363">
              <w:rPr>
                <w:rFonts w:ascii="Trebuchet MS" w:hAnsi="Trebuchet MS" w:cs="Times New Roman"/>
              </w:rPr>
              <w:t>Parteneri SC 20%</w:t>
            </w:r>
          </w:p>
        </w:tc>
        <w:tc>
          <w:tcPr>
            <w:tcW w:w="2976" w:type="dxa"/>
          </w:tcPr>
          <w:p w14:paraId="7D9FA028" w14:textId="77777777" w:rsidR="005A3363" w:rsidRPr="005A3363" w:rsidRDefault="005A3363" w:rsidP="005A3363">
            <w:pPr>
              <w:jc w:val="center"/>
              <w:rPr>
                <w:rFonts w:ascii="Trebuchet MS" w:hAnsi="Trebuchet MS" w:cs="Times New Roman"/>
              </w:rPr>
            </w:pPr>
            <w:r w:rsidRPr="005A3363">
              <w:rPr>
                <w:rFonts w:ascii="Trebuchet MS" w:hAnsi="Trebuchet MS" w:cs="Times New Roman"/>
              </w:rPr>
              <w:t>Reprezentant al Sectorului Privat</w:t>
            </w:r>
          </w:p>
        </w:tc>
      </w:tr>
      <w:tr w:rsidR="005A3363" w:rsidRPr="005A3363" w14:paraId="588B6C6C" w14:textId="77777777" w:rsidTr="0020019F">
        <w:trPr>
          <w:trHeight w:val="452"/>
        </w:trPr>
        <w:tc>
          <w:tcPr>
            <w:tcW w:w="1121" w:type="dxa"/>
          </w:tcPr>
          <w:p w14:paraId="1D85AC10" w14:textId="77777777" w:rsidR="005A3363" w:rsidRPr="005A3363" w:rsidRDefault="005A3363" w:rsidP="005A3363">
            <w:pPr>
              <w:jc w:val="center"/>
              <w:rPr>
                <w:rFonts w:ascii="Trebuchet MS" w:hAnsi="Trebuchet MS" w:cs="Times New Roman"/>
              </w:rPr>
            </w:pPr>
          </w:p>
        </w:tc>
        <w:tc>
          <w:tcPr>
            <w:tcW w:w="2815" w:type="dxa"/>
          </w:tcPr>
          <w:p w14:paraId="2C26B536" w14:textId="77777777" w:rsidR="005A3363" w:rsidRPr="005A3363" w:rsidRDefault="005A3363" w:rsidP="005A3363">
            <w:pPr>
              <w:jc w:val="center"/>
              <w:rPr>
                <w:rFonts w:ascii="Trebuchet MS" w:hAnsi="Trebuchet MS" w:cs="Times New Roman"/>
              </w:rPr>
            </w:pPr>
          </w:p>
        </w:tc>
        <w:tc>
          <w:tcPr>
            <w:tcW w:w="2835" w:type="dxa"/>
            <w:shd w:val="clear" w:color="auto" w:fill="auto"/>
          </w:tcPr>
          <w:p w14:paraId="64029276" w14:textId="77777777" w:rsidR="005A3363" w:rsidRPr="005A3363" w:rsidRDefault="005A3363" w:rsidP="0020019F">
            <w:pPr>
              <w:rPr>
                <w:rFonts w:ascii="Trebuchet MS" w:hAnsi="Trebuchet MS" w:cs="Times New Roman"/>
              </w:rPr>
            </w:pPr>
            <w:r w:rsidRPr="005A3363">
              <w:rPr>
                <w:rFonts w:ascii="Trebuchet MS" w:hAnsi="Trebuchet MS" w:cs="Times New Roman"/>
              </w:rPr>
              <w:t>Parteneri ONG 40%</w:t>
            </w:r>
          </w:p>
        </w:tc>
        <w:tc>
          <w:tcPr>
            <w:tcW w:w="2976" w:type="dxa"/>
          </w:tcPr>
          <w:p w14:paraId="51B99B66" w14:textId="77777777" w:rsidR="005A3363" w:rsidRPr="005A3363" w:rsidRDefault="005A3363" w:rsidP="005A3363">
            <w:pPr>
              <w:jc w:val="center"/>
              <w:rPr>
                <w:rFonts w:ascii="Trebuchet MS" w:hAnsi="Trebuchet MS" w:cs="Times New Roman"/>
              </w:rPr>
            </w:pPr>
            <w:r w:rsidRPr="005A3363">
              <w:rPr>
                <w:rFonts w:ascii="Trebuchet MS" w:hAnsi="Trebuchet MS" w:cs="Times New Roman"/>
              </w:rPr>
              <w:t>Reprezentant al Societăţii Civile / ONG</w:t>
            </w:r>
          </w:p>
        </w:tc>
      </w:tr>
      <w:tr w:rsidR="005A3363" w:rsidRPr="005A3363" w14:paraId="27957DD7" w14:textId="77777777" w:rsidTr="0020019F">
        <w:trPr>
          <w:trHeight w:val="488"/>
        </w:trPr>
        <w:tc>
          <w:tcPr>
            <w:tcW w:w="1121" w:type="dxa"/>
          </w:tcPr>
          <w:p w14:paraId="77CB594D" w14:textId="77777777" w:rsidR="005A3363" w:rsidRPr="005A3363" w:rsidRDefault="005A3363" w:rsidP="005A3363">
            <w:pPr>
              <w:jc w:val="center"/>
              <w:rPr>
                <w:rFonts w:ascii="Trebuchet MS" w:hAnsi="Trebuchet MS" w:cs="Times New Roman"/>
              </w:rPr>
            </w:pPr>
          </w:p>
        </w:tc>
        <w:tc>
          <w:tcPr>
            <w:tcW w:w="2815" w:type="dxa"/>
          </w:tcPr>
          <w:p w14:paraId="4F2DD8A8" w14:textId="77777777" w:rsidR="005A3363" w:rsidRPr="005A3363" w:rsidRDefault="005A3363" w:rsidP="005A3363">
            <w:pPr>
              <w:jc w:val="center"/>
              <w:rPr>
                <w:rFonts w:ascii="Trebuchet MS" w:hAnsi="Trebuchet MS" w:cs="Times New Roman"/>
              </w:rPr>
            </w:pPr>
          </w:p>
        </w:tc>
        <w:tc>
          <w:tcPr>
            <w:tcW w:w="2835" w:type="dxa"/>
            <w:shd w:val="clear" w:color="auto" w:fill="auto"/>
          </w:tcPr>
          <w:p w14:paraId="2CDD7E46" w14:textId="77777777" w:rsidR="005A3363" w:rsidRPr="005A3363" w:rsidRDefault="005A3363" w:rsidP="0020019F">
            <w:pPr>
              <w:rPr>
                <w:rFonts w:ascii="Trebuchet MS" w:hAnsi="Trebuchet MS" w:cs="Times New Roman"/>
              </w:rPr>
            </w:pPr>
            <w:r w:rsidRPr="005A3363">
              <w:rPr>
                <w:rFonts w:ascii="Trebuchet MS" w:hAnsi="Trebuchet MS" w:cs="Times New Roman"/>
              </w:rPr>
              <w:t>Parteneri Persoane fizice  20%</w:t>
            </w:r>
          </w:p>
        </w:tc>
        <w:tc>
          <w:tcPr>
            <w:tcW w:w="2976" w:type="dxa"/>
          </w:tcPr>
          <w:p w14:paraId="484203B8" w14:textId="77777777" w:rsidR="005A3363" w:rsidRPr="005A3363" w:rsidRDefault="005A3363" w:rsidP="005A3363">
            <w:pPr>
              <w:jc w:val="center"/>
              <w:rPr>
                <w:rFonts w:ascii="Trebuchet MS" w:hAnsi="Trebuchet MS" w:cs="Times New Roman"/>
              </w:rPr>
            </w:pPr>
            <w:r w:rsidRPr="005A3363">
              <w:rPr>
                <w:rFonts w:ascii="Trebuchet MS" w:hAnsi="Trebuchet MS" w:cs="Times New Roman"/>
              </w:rPr>
              <w:t>Reprezentant al ZUM</w:t>
            </w:r>
          </w:p>
        </w:tc>
      </w:tr>
    </w:tbl>
    <w:p w14:paraId="2D096C56" w14:textId="77777777" w:rsidR="005A3363" w:rsidRPr="005A3363" w:rsidRDefault="005A3363" w:rsidP="005A3363">
      <w:pPr>
        <w:jc w:val="both"/>
        <w:rPr>
          <w:rFonts w:ascii="Trebuchet MS" w:hAnsi="Trebuchet MS" w:cs="Times New Roman"/>
          <w:sz w:val="24"/>
          <w:szCs w:val="24"/>
          <w:lang w:eastAsia="en-US"/>
        </w:rPr>
      </w:pPr>
    </w:p>
    <w:p w14:paraId="22F34EE0" w14:textId="77777777" w:rsidR="00F21212" w:rsidRPr="00F21212" w:rsidRDefault="00F21212" w:rsidP="00F21212">
      <w:pPr>
        <w:numPr>
          <w:ilvl w:val="0"/>
          <w:numId w:val="30"/>
        </w:numPr>
        <w:spacing w:after="160" w:line="360" w:lineRule="auto"/>
        <w:ind w:left="0" w:firstLine="360"/>
        <w:contextualSpacing/>
        <w:jc w:val="both"/>
        <w:rPr>
          <w:rFonts w:ascii="Trebuchet MS" w:hAnsi="Trebuchet MS" w:cs="Times New Roman"/>
          <w:sz w:val="24"/>
          <w:szCs w:val="24"/>
          <w:lang w:eastAsia="en-US"/>
        </w:rPr>
      </w:pPr>
      <w:r w:rsidRPr="00F21212">
        <w:rPr>
          <w:rFonts w:ascii="Trebuchet MS" w:hAnsi="Trebuchet MS" w:cs="Times New Roman"/>
          <w:sz w:val="24"/>
          <w:szCs w:val="24"/>
          <w:lang w:eastAsia="en-US"/>
        </w:rPr>
        <w:t>Cel puțin 50% din membrii evaluatori trebuie sa aparțină partenerilor din sectorul non-public</w:t>
      </w:r>
    </w:p>
    <w:p w14:paraId="6B25B61F" w14:textId="77777777" w:rsidR="00F21212" w:rsidRPr="00F21212" w:rsidRDefault="00F21212" w:rsidP="00F21212">
      <w:pPr>
        <w:numPr>
          <w:ilvl w:val="0"/>
          <w:numId w:val="30"/>
        </w:numPr>
        <w:spacing w:after="160" w:line="360" w:lineRule="auto"/>
        <w:ind w:left="0" w:firstLine="360"/>
        <w:contextualSpacing/>
        <w:jc w:val="both"/>
        <w:rPr>
          <w:rFonts w:ascii="Trebuchet MS" w:hAnsi="Trebuchet MS" w:cs="Times New Roman"/>
          <w:sz w:val="24"/>
          <w:szCs w:val="24"/>
          <w:lang w:eastAsia="en-US"/>
        </w:rPr>
      </w:pPr>
      <w:r w:rsidRPr="00F21212">
        <w:rPr>
          <w:rFonts w:ascii="Trebuchet MS" w:hAnsi="Trebuchet MS" w:cs="Times New Roman"/>
          <w:sz w:val="24"/>
          <w:szCs w:val="24"/>
          <w:lang w:eastAsia="en-US"/>
        </w:rPr>
        <w:t>Niciunul din tipurile de actori implicați (sectorul public, sectorul privat, societatea civila si comunitatea marginalizata) nu deține mai mult de 49% din drepturile de vot</w:t>
      </w:r>
    </w:p>
    <w:p w14:paraId="20C8BFCB" w14:textId="77777777" w:rsidR="00F21212" w:rsidRPr="00F21212" w:rsidRDefault="00F21212" w:rsidP="00F21212">
      <w:pPr>
        <w:numPr>
          <w:ilvl w:val="0"/>
          <w:numId w:val="30"/>
        </w:numPr>
        <w:spacing w:after="160" w:line="360" w:lineRule="auto"/>
        <w:ind w:left="0" w:firstLine="349"/>
        <w:contextualSpacing/>
        <w:jc w:val="both"/>
        <w:rPr>
          <w:rFonts w:ascii="Trebuchet MS" w:hAnsi="Trebuchet MS" w:cs="Times New Roman"/>
          <w:sz w:val="24"/>
          <w:szCs w:val="24"/>
          <w:lang w:eastAsia="en-US"/>
        </w:rPr>
      </w:pPr>
      <w:r w:rsidRPr="00F21212">
        <w:rPr>
          <w:rFonts w:ascii="Trebuchet MS" w:hAnsi="Trebuchet MS" w:cs="Times New Roman"/>
          <w:sz w:val="24"/>
          <w:szCs w:val="24"/>
          <w:lang w:eastAsia="en-US"/>
        </w:rPr>
        <w:t>Selecția proiectelor se face aplicând regula de „dublu cvorum”, respectiv pentru validarea voturilor, fiind necesar ca în momentul selecției să fie prezenți cel puțin 50% din membrii evaluatori ai comitetului, din care peste 50% să fie din mediul privat si societatea civila.</w:t>
      </w:r>
    </w:p>
    <w:p w14:paraId="5072A43D"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 xml:space="preserve">Contestațiile privind rezultatele evaluării proiectelor vor fi depuse exclusiv on- line în termen de 5 de zile calendaristice de la postarea pe pagina de internet GAL (www.galsusramnicul.ro) a Raportului de selecție final. Analiza contestațiilor se va </w:t>
      </w:r>
      <w:r w:rsidRPr="00F21212">
        <w:rPr>
          <w:rFonts w:ascii="Trebuchet MS" w:hAnsi="Trebuchet MS" w:cs="Times New Roman"/>
          <w:sz w:val="24"/>
          <w:szCs w:val="24"/>
          <w:lang w:eastAsia="en-US"/>
        </w:rPr>
        <w:lastRenderedPageBreak/>
        <w:t>face de către Comisia de Soluţionare Contestații. Raportul Comitetului  de soluționare a contestațiilor se va publica pe site-ul: www.galsusramnicul.ro în 5 zile calendaristice de la data limită de depunere a contestațiilor de la soluţionarea ultimei contestații.</w:t>
      </w:r>
    </w:p>
    <w:p w14:paraId="00C553A9" w14:textId="77777777" w:rsidR="0020019F" w:rsidRPr="005A3363" w:rsidRDefault="0020019F" w:rsidP="005A3363">
      <w:pPr>
        <w:spacing w:line="360" w:lineRule="auto"/>
        <w:ind w:firstLine="720"/>
        <w:jc w:val="both"/>
        <w:rPr>
          <w:rFonts w:ascii="Trebuchet MS" w:hAnsi="Trebuchet MS" w:cs="Times New Roman"/>
          <w:sz w:val="24"/>
          <w:szCs w:val="24"/>
          <w:lang w:eastAsia="en-US"/>
        </w:rPr>
      </w:pPr>
    </w:p>
    <w:p w14:paraId="62038849" w14:textId="77777777" w:rsidR="005A3363" w:rsidRDefault="005A3363" w:rsidP="00B7187F">
      <w:pPr>
        <w:shd w:val="clear" w:color="auto" w:fill="BDD6EE" w:themeFill="accent5" w:themeFillTint="66"/>
        <w:spacing w:line="360" w:lineRule="auto"/>
        <w:ind w:left="426"/>
        <w:outlineLvl w:val="0"/>
        <w:rPr>
          <w:rFonts w:ascii="Trebuchet MS" w:hAnsi="Trebuchet MS" w:cs="Times New Roman"/>
          <w:i/>
          <w:sz w:val="24"/>
          <w:szCs w:val="24"/>
          <w:lang w:eastAsia="en-US"/>
        </w:rPr>
      </w:pPr>
      <w:r w:rsidRPr="00B7187F">
        <w:rPr>
          <w:rFonts w:ascii="Trebuchet MS" w:hAnsi="Trebuchet MS" w:cs="Times New Roman"/>
          <w:i/>
          <w:sz w:val="24"/>
          <w:szCs w:val="24"/>
          <w:lang w:eastAsia="en-US"/>
        </w:rPr>
        <w:t>B. Componența şi obligaţiile Comitetului  de soluționare a contestațiilor  :</w:t>
      </w:r>
    </w:p>
    <w:p w14:paraId="54980E6F" w14:textId="77777777" w:rsidR="0020019F" w:rsidRPr="005A3363" w:rsidRDefault="0020019F" w:rsidP="005A3363">
      <w:pPr>
        <w:spacing w:line="360" w:lineRule="auto"/>
        <w:ind w:firstLine="720"/>
        <w:jc w:val="both"/>
        <w:rPr>
          <w:rFonts w:ascii="Trebuchet MS" w:hAnsi="Trebuchet MS" w:cs="Times New Roman"/>
          <w:i/>
          <w:sz w:val="24"/>
          <w:szCs w:val="24"/>
          <w:lang w:eastAsia="en-US"/>
        </w:rPr>
      </w:pPr>
    </w:p>
    <w:p w14:paraId="231EA801"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Pentru transparența procesului de selecție a proiectelor în cadrul GAL și, totodată, pentru efectuarea activităților de control și monitorizare, la aceste selecții vor putea lua parte și reprezentanți ai Organismul Intermediar Regional pentru Programe Europene Capital Uman Regiunea Sud Est în calitate de observatori.</w:t>
      </w:r>
    </w:p>
    <w:p w14:paraId="6A2006B4"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Comitetului  de soluționare a contestațiilor  este format din 5 membri evaluatori, din care 1 reprezentant al sectorului public, 1 reprezentant al ONG, 2 reprezentanți ai sectorului privat și un reprezentant al ZUM.</w:t>
      </w:r>
    </w:p>
    <w:p w14:paraId="69AE0726"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Comitetului  de soluționare a contestațiilor a proiectelor este ales de Adunarea Generală. Modificarea componenței Comitetului  de soluționare a contestațiilor  se poate realiza ori de câte ori este nevoie doar cu avizul Organismul Intermediar Regional pentru Programe Europene Capital Uman Regiunea Sud Est. Astfel, Grupul de Acțiune Locală transmite noua componență Comitetului de soluționare contestații împreună cu documentele statutare ale persoanelor juridice parte a comitetelor. Organismul Intermediar Regional pentru Programe Europene Capital Uman Regiunea Sud Est verifică îndeplinirea condițiilor de constituire a comitetelor și avizează noua componență a acestora. Comitetele nou constituite nu pot derula nicio activitate specifică procesului de evaluare și selecție a Fișelor de proiecte anterior avizului emis de Organismul Intermediar Regional pentru Programe Europene Capital Uman Regiunea Sud Est.</w:t>
      </w:r>
    </w:p>
    <w:p w14:paraId="54551BE3" w14:textId="77777777" w:rsidR="00F21212" w:rsidRPr="00F21212" w:rsidRDefault="00F21212" w:rsidP="00F21212">
      <w:pPr>
        <w:spacing w:line="360" w:lineRule="auto"/>
        <w:ind w:firstLine="36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Comitetul de selecţie trebuie să respecte următoarele cerinţe:</w:t>
      </w:r>
    </w:p>
    <w:p w14:paraId="601BC08F" w14:textId="77777777" w:rsidR="00F21212" w:rsidRPr="00F21212" w:rsidRDefault="00F21212" w:rsidP="00F21212">
      <w:pPr>
        <w:numPr>
          <w:ilvl w:val="0"/>
          <w:numId w:val="30"/>
        </w:numPr>
        <w:spacing w:after="160" w:line="360" w:lineRule="auto"/>
        <w:contextualSpacing/>
        <w:jc w:val="both"/>
        <w:rPr>
          <w:rFonts w:ascii="Trebuchet MS" w:hAnsi="Trebuchet MS" w:cs="Times New Roman"/>
          <w:sz w:val="24"/>
          <w:szCs w:val="24"/>
          <w:lang w:eastAsia="en-US"/>
        </w:rPr>
      </w:pPr>
      <w:r w:rsidRPr="00F21212">
        <w:rPr>
          <w:rFonts w:ascii="Trebuchet MS" w:hAnsi="Trebuchet MS" w:cs="Times New Roman"/>
          <w:sz w:val="24"/>
          <w:szCs w:val="24"/>
          <w:lang w:eastAsia="en-US"/>
        </w:rPr>
        <w:t>Cel puțin 50% din membrii evaluatori trebuie sa aparțină partenerilor din sectorul non-public</w:t>
      </w:r>
    </w:p>
    <w:p w14:paraId="23B719C6" w14:textId="77777777" w:rsidR="00F21212" w:rsidRPr="00F21212" w:rsidRDefault="00F21212" w:rsidP="00F21212">
      <w:pPr>
        <w:numPr>
          <w:ilvl w:val="0"/>
          <w:numId w:val="30"/>
        </w:numPr>
        <w:spacing w:after="160" w:line="360" w:lineRule="auto"/>
        <w:contextualSpacing/>
        <w:jc w:val="both"/>
        <w:rPr>
          <w:rFonts w:ascii="Trebuchet MS" w:hAnsi="Trebuchet MS" w:cs="Times New Roman"/>
          <w:sz w:val="24"/>
          <w:szCs w:val="24"/>
          <w:lang w:eastAsia="en-US"/>
        </w:rPr>
      </w:pPr>
      <w:r w:rsidRPr="00F21212">
        <w:rPr>
          <w:rFonts w:ascii="Trebuchet MS" w:hAnsi="Trebuchet MS" w:cs="Times New Roman"/>
          <w:sz w:val="24"/>
          <w:szCs w:val="24"/>
          <w:lang w:eastAsia="en-US"/>
        </w:rPr>
        <w:t>Niciunul din tipurile de actori implicați (sectorul public, sectorul privat, societatea civilă şi comunitatea marginalizată) nu deține mai mult de 49% din drepturile de vot.</w:t>
      </w:r>
    </w:p>
    <w:p w14:paraId="42648304" w14:textId="77777777" w:rsidR="00F21212" w:rsidRPr="00F21212" w:rsidRDefault="00F21212" w:rsidP="00F21212">
      <w:pPr>
        <w:numPr>
          <w:ilvl w:val="0"/>
          <w:numId w:val="30"/>
        </w:numPr>
        <w:spacing w:after="160" w:line="360" w:lineRule="auto"/>
        <w:contextualSpacing/>
        <w:jc w:val="both"/>
        <w:rPr>
          <w:rFonts w:ascii="Trebuchet MS" w:hAnsi="Trebuchet MS" w:cs="Times New Roman"/>
          <w:sz w:val="24"/>
          <w:szCs w:val="24"/>
          <w:lang w:eastAsia="en-US"/>
        </w:rPr>
      </w:pPr>
      <w:r w:rsidRPr="00F21212">
        <w:rPr>
          <w:rFonts w:ascii="Trebuchet MS" w:hAnsi="Trebuchet MS" w:cs="Times New Roman"/>
          <w:sz w:val="24"/>
          <w:szCs w:val="24"/>
          <w:lang w:eastAsia="en-US"/>
        </w:rPr>
        <w:t xml:space="preserve">Selecția proiectelor se face aplicând regula de „dublu cvorum”, respectiv pentru validarea voturilor, fiind necesar ca in momentul selecției sa fie prezenți cel </w:t>
      </w:r>
      <w:r w:rsidRPr="00F21212">
        <w:rPr>
          <w:rFonts w:ascii="Trebuchet MS" w:hAnsi="Trebuchet MS" w:cs="Times New Roman"/>
          <w:sz w:val="24"/>
          <w:szCs w:val="24"/>
          <w:lang w:eastAsia="en-US"/>
        </w:rPr>
        <w:lastRenderedPageBreak/>
        <w:t>puțin 50% din membrii evaluatori ai comisiei, din care peste 50% sa fie din mediul privat si societatea civilă.</w:t>
      </w:r>
    </w:p>
    <w:p w14:paraId="21138FC2" w14:textId="77777777" w:rsidR="005A3363" w:rsidRPr="005A3363" w:rsidRDefault="005A3363" w:rsidP="005A3363">
      <w:pPr>
        <w:spacing w:line="360" w:lineRule="auto"/>
        <w:jc w:val="both"/>
        <w:rPr>
          <w:rFonts w:ascii="Times New Roman" w:hAnsi="Times New Roman" w:cs="Times New Roman"/>
          <w:sz w:val="24"/>
          <w:szCs w:val="24"/>
          <w:lang w:eastAsia="en-US"/>
        </w:rPr>
      </w:pPr>
    </w:p>
    <w:p w14:paraId="067EC7A4" w14:textId="55327F88" w:rsidR="005A3363" w:rsidRPr="00B7187F" w:rsidRDefault="0020019F" w:rsidP="00B7187F">
      <w:pPr>
        <w:shd w:val="clear" w:color="auto" w:fill="BDD6EE" w:themeFill="accent5" w:themeFillTint="66"/>
        <w:spacing w:line="360" w:lineRule="auto"/>
        <w:ind w:left="426"/>
        <w:outlineLvl w:val="0"/>
        <w:rPr>
          <w:rFonts w:ascii="Trebuchet MS" w:hAnsi="Trebuchet MS" w:cs="Times New Roman"/>
          <w:i/>
          <w:sz w:val="24"/>
          <w:szCs w:val="24"/>
          <w:lang w:eastAsia="en-US"/>
        </w:rPr>
      </w:pPr>
      <w:r w:rsidRPr="00B7187F">
        <w:rPr>
          <w:rFonts w:ascii="Trebuchet MS" w:hAnsi="Trebuchet MS" w:cs="Times New Roman"/>
          <w:i/>
          <w:sz w:val="24"/>
          <w:szCs w:val="24"/>
          <w:lang w:eastAsia="en-US"/>
        </w:rPr>
        <w:t xml:space="preserve">C. </w:t>
      </w:r>
      <w:r w:rsidR="005A3363" w:rsidRPr="00B7187F">
        <w:rPr>
          <w:rFonts w:ascii="Trebuchet MS" w:hAnsi="Trebuchet MS" w:cs="Times New Roman"/>
          <w:i/>
          <w:sz w:val="24"/>
          <w:szCs w:val="24"/>
          <w:lang w:eastAsia="en-US"/>
        </w:rPr>
        <w:t>Depunerea, primirea si soluţionarea contestaţiilor</w:t>
      </w:r>
    </w:p>
    <w:p w14:paraId="169989AC" w14:textId="77777777" w:rsidR="0020019F" w:rsidRPr="005A3363" w:rsidRDefault="0020019F" w:rsidP="0020019F">
      <w:pPr>
        <w:spacing w:line="360" w:lineRule="auto"/>
        <w:ind w:firstLine="720"/>
        <w:jc w:val="both"/>
        <w:rPr>
          <w:rFonts w:ascii="Trebuchet MS" w:hAnsi="Trebuchet MS" w:cs="Times New Roman"/>
          <w:i/>
          <w:sz w:val="24"/>
          <w:szCs w:val="24"/>
          <w:highlight w:val="yellow"/>
          <w:lang w:eastAsia="en-US"/>
        </w:rPr>
      </w:pPr>
    </w:p>
    <w:p w14:paraId="4BD225DF" w14:textId="0D3A5044"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Contestațiile privind rezultatele evaluării proiectelor vor fi depuse exclusiv on- line în termen de 5 de zile calendaristice de la postarea pe pagina de internet GAL (</w:t>
      </w:r>
      <w:hyperlink r:id="rId8" w:history="1">
        <w:r w:rsidRPr="00F21212">
          <w:rPr>
            <w:rFonts w:ascii="Trebuchet MS" w:hAnsi="Trebuchet MS" w:cs="Times New Roman"/>
            <w:sz w:val="24"/>
            <w:szCs w:val="24"/>
            <w:u w:val="single"/>
            <w:lang w:eastAsia="en-US"/>
          </w:rPr>
          <w:t>www.galsusramnicul.ro</w:t>
        </w:r>
      </w:hyperlink>
      <w:r w:rsidRPr="00F21212">
        <w:rPr>
          <w:rFonts w:ascii="Trebuchet MS" w:hAnsi="Trebuchet MS" w:cs="Times New Roman"/>
          <w:sz w:val="24"/>
          <w:szCs w:val="24"/>
          <w:lang w:eastAsia="en-US"/>
        </w:rPr>
        <w:t xml:space="preserve">) a Raportului de selecție final. Analiza contestațiilor se va face de către Comisia de Soluţionare Contestații. Raportul Comisiei de Soluţionare a Contestațiilor se va publica pe site-ul: </w:t>
      </w:r>
      <w:hyperlink r:id="rId9" w:history="1">
        <w:r w:rsidRPr="00F21212">
          <w:rPr>
            <w:rFonts w:ascii="Trebuchet MS" w:hAnsi="Trebuchet MS" w:cs="Times New Roman"/>
            <w:sz w:val="24"/>
            <w:szCs w:val="24"/>
            <w:u w:val="single"/>
            <w:lang w:eastAsia="en-US"/>
          </w:rPr>
          <w:t>www.galsusramnicul.ro</w:t>
        </w:r>
      </w:hyperlink>
      <w:r w:rsidRPr="00F21212">
        <w:rPr>
          <w:rFonts w:ascii="Trebuchet MS" w:hAnsi="Trebuchet MS" w:cs="Times New Roman"/>
          <w:sz w:val="24"/>
          <w:szCs w:val="24"/>
          <w:lang w:eastAsia="en-US"/>
        </w:rPr>
        <w:t xml:space="preserve"> în termen de 5 zile calendaristice de la data limită de depunere a contestațiilor de la </w:t>
      </w:r>
      <w:r w:rsidR="00E60A0A" w:rsidRPr="00F21212">
        <w:rPr>
          <w:rFonts w:ascii="Trebuchet MS" w:hAnsi="Trebuchet MS" w:cs="Times New Roman"/>
          <w:sz w:val="24"/>
          <w:szCs w:val="24"/>
          <w:lang w:eastAsia="en-US"/>
        </w:rPr>
        <w:t>soluționarea</w:t>
      </w:r>
      <w:r w:rsidRPr="00F21212">
        <w:rPr>
          <w:rFonts w:ascii="Trebuchet MS" w:hAnsi="Trebuchet MS" w:cs="Times New Roman"/>
          <w:sz w:val="24"/>
          <w:szCs w:val="24"/>
          <w:lang w:eastAsia="en-US"/>
        </w:rPr>
        <w:t xml:space="preserve"> ultimei contestații.</w:t>
      </w:r>
    </w:p>
    <w:p w14:paraId="5803B2BD"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imes New Roman" w:hAnsi="Times New Roman" w:cs="Times New Roman"/>
          <w:sz w:val="24"/>
          <w:szCs w:val="24"/>
          <w:lang w:eastAsia="en-US"/>
        </w:rPr>
        <w:tab/>
      </w:r>
      <w:r w:rsidRPr="00F21212">
        <w:rPr>
          <w:rFonts w:ascii="Trebuchet MS" w:hAnsi="Trebuchet MS" w:cs="Times New Roman"/>
          <w:sz w:val="24"/>
          <w:szCs w:val="24"/>
          <w:lang w:eastAsia="en-US"/>
        </w:rPr>
        <w:t>Nu este permis ca entitățile juridice, parte a sectorului non-public să aibă legături cu alți membri ai comitetelor, după cum urmează:</w:t>
      </w:r>
    </w:p>
    <w:p w14:paraId="20ECF346"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w:t>
      </w:r>
      <w:r w:rsidRPr="00F21212">
        <w:rPr>
          <w:rFonts w:ascii="Trebuchet MS" w:hAnsi="Trebuchet MS" w:cs="Times New Roman"/>
          <w:sz w:val="24"/>
          <w:szCs w:val="24"/>
          <w:lang w:eastAsia="en-US"/>
        </w:rPr>
        <w:tab/>
        <w:t>Nu pot face parte din Comitetul de soluționare contestații reprezentanții societăților comerciale care au ca și acționari/asociați instituții și autorități publice;</w:t>
      </w:r>
    </w:p>
    <w:p w14:paraId="3D3D8C83"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w:t>
      </w:r>
      <w:r w:rsidRPr="00F21212">
        <w:rPr>
          <w:rFonts w:ascii="Trebuchet MS" w:hAnsi="Trebuchet MS" w:cs="Times New Roman"/>
          <w:sz w:val="24"/>
          <w:szCs w:val="24"/>
          <w:lang w:eastAsia="en-US"/>
        </w:rPr>
        <w:tab/>
        <w:t>Nu pot face  parte din Comitetul de soluționare contestații reprezentanțu ai unor asociații sau fundații ce au ca și membri instituții sau autorități publice;</w:t>
      </w:r>
    </w:p>
    <w:p w14:paraId="7D444D63"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w:t>
      </w:r>
      <w:r w:rsidRPr="00F21212">
        <w:rPr>
          <w:rFonts w:ascii="Trebuchet MS" w:hAnsi="Trebuchet MS" w:cs="Times New Roman"/>
          <w:sz w:val="24"/>
          <w:szCs w:val="24"/>
          <w:lang w:eastAsia="en-US"/>
        </w:rPr>
        <w:tab/>
        <w:t>Nu pot face parte din Comitetul de soluționare contestații reprezentați a două sau mai multe societăți comerciale care au acționari/asociați comuni;</w:t>
      </w:r>
    </w:p>
    <w:p w14:paraId="4059B9F6"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w:t>
      </w:r>
      <w:r w:rsidRPr="00F21212">
        <w:rPr>
          <w:rFonts w:ascii="Trebuchet MS" w:hAnsi="Trebuchet MS" w:cs="Times New Roman"/>
          <w:sz w:val="24"/>
          <w:szCs w:val="24"/>
          <w:lang w:eastAsia="en-US"/>
        </w:rPr>
        <w:tab/>
        <w:t>Nu pot face parte din Comitetul de soluționare contestații reprezentanții asociațiilor și fundațiilor care au în comitetul director sau printre membri fondatori persoane comune;</w:t>
      </w:r>
    </w:p>
    <w:p w14:paraId="4D3FFAE4"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w:t>
      </w:r>
      <w:r w:rsidRPr="00F21212">
        <w:rPr>
          <w:rFonts w:ascii="Trebuchet MS" w:hAnsi="Trebuchet MS" w:cs="Times New Roman"/>
          <w:sz w:val="24"/>
          <w:szCs w:val="24"/>
          <w:lang w:eastAsia="en-US"/>
        </w:rPr>
        <w:tab/>
        <w:t>Nu pot face parte din Comitetul de soluționare contestații reprezentanți ai societăților comerciale care au printre acționari/asociați un reprezentant al comunității marginalizate din Comitetul de selecție/Comitetul de soluționare contestații;</w:t>
      </w:r>
    </w:p>
    <w:p w14:paraId="2A88E594"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w:t>
      </w:r>
      <w:r w:rsidRPr="00F21212">
        <w:rPr>
          <w:rFonts w:ascii="Trebuchet MS" w:hAnsi="Trebuchet MS" w:cs="Times New Roman"/>
          <w:sz w:val="24"/>
          <w:szCs w:val="24"/>
          <w:lang w:eastAsia="en-US"/>
        </w:rPr>
        <w:tab/>
        <w:t>Nu pot face parte din Comitetul de soluționare contestații reprezentanți ai unor asociații sau fundații ce au în comitetul director sau între membri fondatori un reprezentant al comunității marginalizate din Comitetul de selecție/Comitetul de soluționare contestații.</w:t>
      </w:r>
    </w:p>
    <w:p w14:paraId="60DC360E"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imes New Roman" w:hAnsi="Times New Roman" w:cs="Times New Roman"/>
          <w:sz w:val="24"/>
          <w:szCs w:val="24"/>
          <w:lang w:eastAsia="en-US"/>
        </w:rPr>
        <w:tab/>
      </w:r>
      <w:r w:rsidRPr="00F21212">
        <w:rPr>
          <w:rFonts w:ascii="Trebuchet MS" w:hAnsi="Trebuchet MS" w:cs="Times New Roman"/>
          <w:sz w:val="24"/>
          <w:szCs w:val="24"/>
          <w:lang w:eastAsia="en-US"/>
        </w:rPr>
        <w:t xml:space="preserve">Toate entitățile juridice non-publice (societăți comerciale, asociații sau fundații) reprezentate în comitetul de selecție/comitetul de soluționare a contestațiilor vor prezenta documentele statutare emise de către instituțiile publice abilitate (Act </w:t>
      </w:r>
      <w:r w:rsidRPr="00F21212">
        <w:rPr>
          <w:rFonts w:ascii="Trebuchet MS" w:hAnsi="Trebuchet MS" w:cs="Times New Roman"/>
          <w:sz w:val="24"/>
          <w:szCs w:val="24"/>
          <w:lang w:eastAsia="en-US"/>
        </w:rPr>
        <w:lastRenderedPageBreak/>
        <w:t>constitutiv/Statut/ Certificat constatator emis de Oficiul Național al Registrului Comerțului/Extras din registrul asociațiilor și fundațiilor) emis cu cel mult 30 de zile anterior transmiterii procedurii de evaluare și selecție a fișelor de proiecte din care să rezulte după caz asociații/acționarii în cadrul societăților comerciale, membri fondatori și organele de conducere în cazul asociațiilor și fundațiilor.</w:t>
      </w:r>
    </w:p>
    <w:p w14:paraId="7B12A860"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ab/>
        <w:t>Anterior fiecărei întruniri a Comitetului de selecție/Comitetului de soluționare a contestațiilor, reprezentanții persoanelor juridice non-publice vor da o declarație pe proprie răspundere că în structura entității juridice pe care o reprezintă nu au intervenit modificări de natură să afecteze principiile menționate mai sus.</w:t>
      </w:r>
    </w:p>
    <w:p w14:paraId="5741ACCD" w14:textId="77777777" w:rsidR="005A3363" w:rsidRPr="005A3363" w:rsidRDefault="005A3363" w:rsidP="005A3363">
      <w:pPr>
        <w:spacing w:line="360" w:lineRule="auto"/>
        <w:jc w:val="both"/>
        <w:rPr>
          <w:rFonts w:ascii="Times New Roman" w:hAnsi="Times New Roman" w:cs="Times New Roman"/>
          <w:sz w:val="24"/>
          <w:szCs w:val="24"/>
          <w:lang w:eastAsia="en-US"/>
        </w:rPr>
      </w:pPr>
    </w:p>
    <w:p w14:paraId="0D8F0F84" w14:textId="77777777" w:rsidR="005A3363" w:rsidRPr="00B7187F" w:rsidRDefault="005A3363" w:rsidP="00B7187F">
      <w:pPr>
        <w:rPr>
          <w:rFonts w:ascii="Trebuchet MS" w:hAnsi="Trebuchet MS"/>
          <w:sz w:val="24"/>
          <w:szCs w:val="24"/>
        </w:rPr>
      </w:pPr>
      <w:bookmarkStart w:id="1" w:name="_Toc13995691"/>
      <w:r w:rsidRPr="00B7187F">
        <w:rPr>
          <w:rFonts w:ascii="Trebuchet MS" w:hAnsi="Trebuchet MS"/>
          <w:sz w:val="24"/>
          <w:szCs w:val="24"/>
          <w:highlight w:val="lightGray"/>
        </w:rPr>
        <w:t>2. Conflictul de interese si confidenţialitatea in ceea ce priveşte Fişele de Proiecte (FP)</w:t>
      </w:r>
      <w:bookmarkEnd w:id="1"/>
    </w:p>
    <w:p w14:paraId="408E396D" w14:textId="77777777" w:rsidR="0020019F" w:rsidRDefault="005A3363" w:rsidP="005A3363">
      <w:pPr>
        <w:spacing w:line="360" w:lineRule="auto"/>
        <w:jc w:val="both"/>
        <w:rPr>
          <w:rFonts w:ascii="Trebuchet MS" w:hAnsi="Trebuchet MS" w:cs="Times New Roman"/>
          <w:sz w:val="24"/>
          <w:szCs w:val="24"/>
          <w:lang w:eastAsia="en-US"/>
        </w:rPr>
      </w:pPr>
      <w:r w:rsidRPr="005A3363">
        <w:rPr>
          <w:rFonts w:ascii="Trebuchet MS" w:hAnsi="Trebuchet MS" w:cs="Times New Roman"/>
          <w:sz w:val="24"/>
          <w:szCs w:val="24"/>
          <w:lang w:eastAsia="en-US"/>
        </w:rPr>
        <w:tab/>
      </w:r>
    </w:p>
    <w:p w14:paraId="62690562"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ab/>
        <w:t>Toate persoanele implicate în procesul de evaluare și selecție (membri comitetului de selecție/membri comitetului de soluționare a contestațiilor, personal tehnic (evaluatori), membri comitetului director al GAL) trebuie să respecte prevederile legislației naționale și comunitare aplicabile în vederea evitării conflictului de interese. Reprezintă conflict de interese orice situație care împiedică personalul implicat în procesul de evaluare și selecție de a avea o atitudine obiectivă şi imparţială, sau care îi împiedică să execute activităţile specifice procesului de evaluare și selecție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72006FDE" w14:textId="77777777" w:rsidR="00F21212" w:rsidRP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ab/>
        <w:t>Pentru a se evita conflictul de interese, toate persoanele implicate la nivelul GAL în evaluarea și selecția fișelor de proiecte (membri Comitetului de selecție; membri Comitetului de Soluționare Contestații; personal tehnic (evaluatori); membri Comitetului director) vor trebui  să completeze o  declarație privind evitarea conflictului  de interese.</w:t>
      </w:r>
    </w:p>
    <w:p w14:paraId="15D08DBD"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Conform procedurii, pentru a evita conflictul de interese, membrii evaluatori ai Comitetului de Evaluare şi Selecţie vor semna următoarele declaraţii:</w:t>
      </w:r>
    </w:p>
    <w:p w14:paraId="7CDA4953"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 Declaraţia privind evitarea conflictului de interese – Anexa nr. 9 la procedură;</w:t>
      </w:r>
    </w:p>
    <w:p w14:paraId="5D3BE1CC"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 Declaraţia de confidenţialitate – Anexa nr. 8 la procedură;</w:t>
      </w:r>
    </w:p>
    <w:p w14:paraId="5D52377C" w14:textId="77777777" w:rsidR="00F21212" w:rsidRDefault="00F21212" w:rsidP="00F21212">
      <w:pPr>
        <w:spacing w:line="360" w:lineRule="auto"/>
        <w:jc w:val="both"/>
        <w:rPr>
          <w:rFonts w:ascii="Trebuchet MS" w:hAnsi="Trebuchet MS" w:cs="Times New Roman"/>
          <w:sz w:val="24"/>
          <w:szCs w:val="24"/>
          <w:lang w:eastAsia="en-US"/>
        </w:rPr>
      </w:pPr>
      <w:r w:rsidRPr="00F21212">
        <w:rPr>
          <w:rFonts w:ascii="Trebuchet MS" w:hAnsi="Trebuchet MS" w:cs="Times New Roman"/>
          <w:sz w:val="24"/>
          <w:szCs w:val="24"/>
          <w:lang w:eastAsia="en-US"/>
        </w:rPr>
        <w:tab/>
        <w:t xml:space="preserve">Dacă unul dintre membrii evaluatori din Comitetul de Evaluare şi Selecţie  constată că se află într-o situație de conflict de interese în raport cu unul dintre </w:t>
      </w:r>
      <w:r w:rsidRPr="00F21212">
        <w:rPr>
          <w:rFonts w:ascii="Trebuchet MS" w:hAnsi="Trebuchet MS" w:cs="Times New Roman"/>
          <w:sz w:val="24"/>
          <w:szCs w:val="24"/>
          <w:lang w:eastAsia="en-US"/>
        </w:rPr>
        <w:lastRenderedPageBreak/>
        <w:t>solicitanții proiectelor depuse pentru selecție, acesta nu are drept de vot și nu va participa la întâlnirea comitetului respectiv.</w:t>
      </w:r>
    </w:p>
    <w:p w14:paraId="49015ECA" w14:textId="77777777" w:rsidR="00B7187F" w:rsidRPr="00F21212" w:rsidRDefault="00B7187F" w:rsidP="00F21212">
      <w:pPr>
        <w:spacing w:line="360" w:lineRule="auto"/>
        <w:jc w:val="both"/>
        <w:rPr>
          <w:rFonts w:ascii="Trebuchet MS" w:hAnsi="Trebuchet MS" w:cs="Times New Roman"/>
          <w:sz w:val="24"/>
          <w:szCs w:val="24"/>
          <w:lang w:eastAsia="en-US"/>
        </w:rPr>
      </w:pPr>
    </w:p>
    <w:p w14:paraId="599BA9BF" w14:textId="213B5975" w:rsidR="005A3363" w:rsidRDefault="00F21212" w:rsidP="00B7187F">
      <w:pPr>
        <w:rPr>
          <w:rFonts w:ascii="Trebuchet MS" w:hAnsi="Trebuchet MS"/>
          <w:sz w:val="24"/>
          <w:szCs w:val="24"/>
        </w:rPr>
      </w:pPr>
      <w:bookmarkStart w:id="2" w:name="_Toc13995693"/>
      <w:r w:rsidRPr="00B7187F">
        <w:rPr>
          <w:rFonts w:ascii="Trebuchet MS" w:hAnsi="Trebuchet MS"/>
          <w:sz w:val="24"/>
          <w:szCs w:val="24"/>
          <w:highlight w:val="lightGray"/>
        </w:rPr>
        <w:t>3</w:t>
      </w:r>
      <w:r w:rsidR="005A3363" w:rsidRPr="00B7187F">
        <w:rPr>
          <w:rFonts w:ascii="Trebuchet MS" w:hAnsi="Trebuchet MS"/>
          <w:sz w:val="24"/>
          <w:szCs w:val="24"/>
          <w:highlight w:val="lightGray"/>
        </w:rPr>
        <w:t xml:space="preserve">. Finalizarea </w:t>
      </w:r>
      <w:bookmarkEnd w:id="2"/>
      <w:r w:rsidR="005A3363" w:rsidRPr="00B7187F">
        <w:rPr>
          <w:rFonts w:ascii="Trebuchet MS" w:hAnsi="Trebuchet MS"/>
          <w:sz w:val="24"/>
          <w:szCs w:val="24"/>
          <w:highlight w:val="lightGray"/>
        </w:rPr>
        <w:t>procesului de evaluare si selecție</w:t>
      </w:r>
    </w:p>
    <w:p w14:paraId="11035C87" w14:textId="77777777" w:rsidR="00B7187F" w:rsidRPr="00B7187F" w:rsidRDefault="00B7187F" w:rsidP="00B7187F">
      <w:pPr>
        <w:rPr>
          <w:rFonts w:ascii="Trebuchet MS" w:hAnsi="Trebuchet MS"/>
          <w:sz w:val="24"/>
          <w:szCs w:val="24"/>
        </w:rPr>
      </w:pPr>
    </w:p>
    <w:p w14:paraId="15B2843D"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După încheierea procesului de evaluare şi selecţie, Comitetul de Selecţie va emite un Raport de Selecţie Intermediar, în care vor fi înscrise propunerile de proiecte retrase, neeligibile, eligibile neselectate şi eligibile selectate, valoarea acestora, numele solicitanţilor, iar pentru propunerile de proiecte eligibile punctajul obţinut pentru fiecare criteriu de selecţie. Raportul de Selecţie Intermediar va fi semnat de către toţi membrii Comitetului de Selecţie (titulari și / sau supleanti după caz, în limitele regulii de dublu – cvorum) ; se va specifica apartenenţa lor la mediul privat sau public. Raportul de Selecţie Intermediar va fi publicat la sediul GAL și pe pagina de web a GAL, în 5 zile lucrătoare de la aprobare. În baza acestuia, GAL va transmite rezultatele selecţiei către solicitanţi. Notificările către solicitanţi asupra rezultatului selecţiei vor fi semnate de către Reprezentantul legal al GAL sau de un angajat al GAL desemnat în acest sens. Notificarea se va transmite prin e-mail la datele de contact menționate în fișa de proiect. Notificările  trebuie  să  conţină motivele pentru  care  fișele  de  proiect  nu  au  fost  selectate, precum şi perioada de depunere şi soluţionare a contestaţiilor.</w:t>
      </w:r>
    </w:p>
    <w:p w14:paraId="7C87D91F"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Beneficiarii care au fost notificaţi de către GAL de faptul că fișele de proiect ale acestora nu au fost selectate pot depune contestaţii la sediul GAL în termenul legal, stabilit si comunicat de GAL, de la primirea notificării. Contestaţiile primite vor fi analizate de către o Comisie de Soluţionare a Contestaţiilor înfiinţată la nivelul GAL în acest sens, care va fi compusă din alte persoane faţă de cele care au făcut parte din Comisiei de evaluare si selecție a fișelor de proiect. Comisia de Soluţionare a Contestaţiilor este numită şi aprobată de către Președintele GAL, în conformitate cu prevederile Statutului GAL. GAL va include în procedura de selecţie inclusiv etapele de soluţionare a contestaţiilor. Membrii Comisiei de Soluţionare a Contestaţiilor vor respecta regulile conflictului de interes, completând aceeaşi declarație ca şi membrii Comisiei de evaluare si selecție.</w:t>
      </w:r>
    </w:p>
    <w:p w14:paraId="02A1669D"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 xml:space="preserve">Comisia de Soluţionare a Contestaţiilor va analiza la nivelul respectivelor fișelor de proiect, exclusiv aspectele care au făcut obiectul contestaţiilor. Pe parcursul procesului de soluționare a contestațiilor poate fi solicitat un singur set de clarificări. În urma soluţionării eventualelor contestaţii, Comisia de Soluţionare a Contestaţiilor va </w:t>
      </w:r>
      <w:r w:rsidRPr="00F21212">
        <w:rPr>
          <w:rFonts w:ascii="Trebuchet MS" w:hAnsi="Trebuchet MS" w:cs="Times New Roman"/>
          <w:sz w:val="24"/>
          <w:szCs w:val="24"/>
          <w:lang w:eastAsia="en-US"/>
        </w:rPr>
        <w:lastRenderedPageBreak/>
        <w:t>elabora un Raport de Contestaţii, care va fi semnat de către membrii Comisiei şi va fi înaintat Comitet de Soluționare a Contestațiilor GAL. În baza Raportului de Contestaţii, Comitet de Soluționare a Contestațiilor va emite Raportul de Selecție (final), în care vor fi înscrise fișele de proiect retrase, neeligibile, eligibile neselectate şi eligibile selectate, valoarea acestora, numele solicitanților, iar pentru fișele de proiect eligibile punctajul obținut pentru fiecare criteriu de selecție;</w:t>
      </w:r>
    </w:p>
    <w:p w14:paraId="04EA3B2D"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Reprezentanții OIR se vor prezenta la sesiunea de adoptare a raportului final și vor întocmi un Raport de observator doar daca raportul final conține modificări față de raportul inițial.</w:t>
      </w:r>
    </w:p>
    <w:p w14:paraId="28ECF249"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Raportul de Selecție final trebuie aprobat de CD al GAL și trebuie să conțină precizarea că anumite fișe de proiect pot fi respinse dacă se constată la nivelul OIR aspecte referitoare la neîndeplinirea cerințelor minime de eligibilitate sau încălcarea unor principii generale de selecție/procedura de evaluare și selecție avizată de OIR;</w:t>
      </w:r>
    </w:p>
    <w:p w14:paraId="2517A931"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Fișele de proiecte care au obținut cel puțin punctajul minim dar care nu au fost selectate pentru finanțare în cadrul Raportului de selecție ca urmare a epuizării bugetului la nivelul apelului, vor constitui lista de rezervă la nivelul apelului respectiv.Dacă la nivelul GAL există intenția de a finanța fișele de proiecte eligibile fără finanțare, din ultima sesiune de depunere a proiectelor, cuprinse într-o listă de așteptare, întocmită pe baza ierarhizării acestora și cu aplicarea criteriilor de departajare, acestea vor putea fi finanțate, în limita constituirii fondurilor disponibile, inclusiv prin realocări financiare aprobate. Atragem atenția că mențiunea anterioară nu se aplică în cazul în care pentru respectiva intervenție va mai fi lansată o nouă sesiune de depunere proiecte. În acest caz, fișele de proiecte cuprinse în lista de așteptare pot fi retrase și redepuse la următorul apel de selecție, în vederea evaluării și selecției.</w:t>
      </w:r>
    </w:p>
    <w:p w14:paraId="17C2845C"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În cazul în care în urma derulării unui apel de fișe de proiecte nu a fost depusă nicio fișă de proiect, GAL va înștiința OIR-ul responsabil asupra acestui fapt. În această situație nu se va emite Raport de selecție.</w:t>
      </w:r>
    </w:p>
    <w:p w14:paraId="1C5C82CF"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În vederea asigurării transparenței procesului de selecție realizat la nivelul GAL, Rapoartele de Selecție trebuie făcute publice, minim pe pagina de web a GAL și la sediul GAL-ului şi eventual la sediul Primăriei.</w:t>
      </w:r>
    </w:p>
    <w:p w14:paraId="2412FA52" w14:textId="77777777" w:rsidR="00F21212" w:rsidRPr="00F21212" w:rsidRDefault="00F21212" w:rsidP="00F21212">
      <w:pPr>
        <w:spacing w:line="360" w:lineRule="auto"/>
        <w:ind w:firstLine="720"/>
        <w:jc w:val="both"/>
        <w:rPr>
          <w:rFonts w:ascii="Trebuchet MS" w:hAnsi="Trebuchet MS" w:cs="Times New Roman"/>
          <w:sz w:val="24"/>
          <w:szCs w:val="24"/>
          <w:lang w:eastAsia="en-US"/>
        </w:rPr>
      </w:pPr>
      <w:r w:rsidRPr="00F21212">
        <w:rPr>
          <w:rFonts w:ascii="Trebuchet MS" w:hAnsi="Trebuchet MS" w:cs="Times New Roman"/>
          <w:sz w:val="24"/>
          <w:szCs w:val="24"/>
          <w:lang w:eastAsia="en-US"/>
        </w:rPr>
        <w:t xml:space="preserve">Procesul de evaluare si selecție se va desfășura în termen recomandabil de maximum 35 de zile calendaristice, inclusiv cu vizita la fața locului pentru fișele </w:t>
      </w:r>
      <w:r w:rsidRPr="00F21212">
        <w:rPr>
          <w:rFonts w:ascii="Trebuchet MS" w:hAnsi="Trebuchet MS" w:cs="Times New Roman"/>
          <w:sz w:val="24"/>
          <w:szCs w:val="24"/>
          <w:lang w:eastAsia="en-US"/>
        </w:rPr>
        <w:lastRenderedPageBreak/>
        <w:t>proiect FEDR selectate (dacă este cazul), la care se poate adăuga perioada de soluționare a contestațiilor, dacă este cazul.</w:t>
      </w:r>
    </w:p>
    <w:p w14:paraId="2669D437" w14:textId="77777777" w:rsidR="005A3363" w:rsidRPr="005A3363" w:rsidRDefault="005A3363" w:rsidP="00F21212">
      <w:pPr>
        <w:spacing w:line="360" w:lineRule="auto"/>
        <w:ind w:left="-720" w:firstLine="720"/>
        <w:jc w:val="center"/>
        <w:rPr>
          <w:rFonts w:ascii="Trebuchet MS" w:eastAsia="Trebuchet MS" w:hAnsi="Trebuchet MS"/>
          <w:b/>
          <w:sz w:val="12"/>
          <w:szCs w:val="12"/>
        </w:rPr>
      </w:pPr>
    </w:p>
    <w:p w14:paraId="44FF0B2F" w14:textId="77777777" w:rsidR="005A3363" w:rsidRPr="005A3363" w:rsidRDefault="005A3363" w:rsidP="00A15D80">
      <w:pPr>
        <w:spacing w:line="360" w:lineRule="auto"/>
        <w:ind w:left="-720" w:right="-720" w:firstLine="720"/>
        <w:jc w:val="center"/>
        <w:rPr>
          <w:rFonts w:ascii="Trebuchet MS" w:eastAsia="Trebuchet MS" w:hAnsi="Trebuchet MS"/>
          <w:b/>
          <w:sz w:val="12"/>
          <w:szCs w:val="12"/>
        </w:rPr>
      </w:pPr>
    </w:p>
    <w:p w14:paraId="075CF5AD" w14:textId="77777777" w:rsidR="005A3363" w:rsidRPr="005A3363" w:rsidRDefault="005A3363" w:rsidP="00A15D80">
      <w:pPr>
        <w:spacing w:line="360" w:lineRule="auto"/>
        <w:ind w:left="-720" w:right="-720" w:firstLine="720"/>
        <w:jc w:val="center"/>
        <w:rPr>
          <w:rFonts w:ascii="Trebuchet MS" w:eastAsia="Trebuchet MS" w:hAnsi="Trebuchet MS"/>
          <w:b/>
          <w:sz w:val="12"/>
          <w:szCs w:val="12"/>
        </w:rPr>
      </w:pPr>
    </w:p>
    <w:p w14:paraId="14499B08" w14:textId="77777777" w:rsidR="005A3363" w:rsidRPr="005A3363" w:rsidRDefault="005A3363" w:rsidP="00A15D80">
      <w:pPr>
        <w:spacing w:line="360" w:lineRule="auto"/>
        <w:ind w:left="-720" w:right="-720" w:firstLine="720"/>
        <w:jc w:val="center"/>
        <w:rPr>
          <w:rFonts w:ascii="Trebuchet MS" w:eastAsia="Trebuchet MS" w:hAnsi="Trebuchet MS"/>
          <w:b/>
          <w:sz w:val="12"/>
          <w:szCs w:val="12"/>
        </w:rPr>
      </w:pPr>
    </w:p>
    <w:p w14:paraId="66CD49AF" w14:textId="77777777" w:rsidR="005A3363" w:rsidRPr="005A3363" w:rsidRDefault="005A3363" w:rsidP="00A15D80">
      <w:pPr>
        <w:spacing w:line="360" w:lineRule="auto"/>
        <w:ind w:left="-720" w:right="-720" w:firstLine="720"/>
        <w:jc w:val="center"/>
        <w:rPr>
          <w:rFonts w:ascii="Trebuchet MS" w:eastAsia="Trebuchet MS" w:hAnsi="Trebuchet MS"/>
          <w:b/>
          <w:sz w:val="12"/>
          <w:szCs w:val="12"/>
        </w:rPr>
      </w:pPr>
    </w:p>
    <w:p w14:paraId="6C90BF39" w14:textId="77777777" w:rsidR="005A3363" w:rsidRPr="005A3363" w:rsidRDefault="005A3363" w:rsidP="00A15D80">
      <w:pPr>
        <w:spacing w:line="360" w:lineRule="auto"/>
        <w:ind w:left="-720" w:right="-720" w:firstLine="720"/>
        <w:jc w:val="center"/>
        <w:rPr>
          <w:rFonts w:ascii="Trebuchet MS" w:eastAsia="Trebuchet MS" w:hAnsi="Trebuchet MS"/>
          <w:b/>
          <w:sz w:val="12"/>
          <w:szCs w:val="12"/>
        </w:rPr>
      </w:pPr>
    </w:p>
    <w:p w14:paraId="0804E931" w14:textId="77777777" w:rsidR="005A3363" w:rsidRPr="005A3363" w:rsidRDefault="005A3363" w:rsidP="00A15D80">
      <w:pPr>
        <w:spacing w:line="360" w:lineRule="auto"/>
        <w:ind w:left="-720" w:right="-720" w:firstLine="720"/>
        <w:jc w:val="center"/>
        <w:rPr>
          <w:rFonts w:ascii="Trebuchet MS" w:eastAsia="Trebuchet MS" w:hAnsi="Trebuchet MS"/>
          <w:b/>
          <w:sz w:val="12"/>
          <w:szCs w:val="12"/>
        </w:rPr>
      </w:pPr>
    </w:p>
    <w:p w14:paraId="3F72BD77" w14:textId="77777777" w:rsidR="005A3363" w:rsidRPr="005A3363" w:rsidRDefault="005A3363" w:rsidP="00A15D80">
      <w:pPr>
        <w:spacing w:line="360" w:lineRule="auto"/>
        <w:ind w:left="-720" w:right="-720" w:firstLine="720"/>
        <w:jc w:val="center"/>
        <w:rPr>
          <w:rFonts w:ascii="Trebuchet MS" w:eastAsia="Trebuchet MS" w:hAnsi="Trebuchet MS"/>
          <w:b/>
          <w:sz w:val="12"/>
          <w:szCs w:val="12"/>
        </w:rPr>
      </w:pPr>
    </w:p>
    <w:sectPr w:rsidR="005A3363" w:rsidRPr="005A3363" w:rsidSect="00E234A6">
      <w:headerReference w:type="even" r:id="rId10"/>
      <w:headerReference w:type="default" r:id="rId11"/>
      <w:footerReference w:type="even" r:id="rId12"/>
      <w:footerReference w:type="default" r:id="rId13"/>
      <w:headerReference w:type="first" r:id="rId14"/>
      <w:footerReference w:type="first" r:id="rId15"/>
      <w:pgSz w:w="11906" w:h="16838"/>
      <w:pgMar w:top="1417" w:right="991" w:bottom="1134" w:left="1417" w:header="0"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8CB99" w14:textId="77777777" w:rsidR="0054160F" w:rsidRDefault="0054160F" w:rsidP="00AB1717">
      <w:r>
        <w:separator/>
      </w:r>
    </w:p>
  </w:endnote>
  <w:endnote w:type="continuationSeparator" w:id="0">
    <w:p w14:paraId="27A4BD56" w14:textId="77777777" w:rsidR="0054160F" w:rsidRDefault="0054160F"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7EE8D" w14:textId="77777777" w:rsidR="003912B1" w:rsidRDefault="003912B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668F" w14:textId="6C4C3F2D" w:rsidR="004720E3" w:rsidRDefault="00E234A6" w:rsidP="00B7047E">
    <w:pPr>
      <w:pStyle w:val="Subsol"/>
      <w:jc w:val="center"/>
    </w:pPr>
    <w:r>
      <w:rPr>
        <w:noProof/>
      </w:rPr>
      <w:drawing>
        <wp:anchor distT="0" distB="0" distL="114300" distR="114300" simplePos="0" relativeHeight="251659264" behindDoc="1" locked="0" layoutInCell="1" allowOverlap="1" wp14:anchorId="72851460" wp14:editId="638590B1">
          <wp:simplePos x="0" y="0"/>
          <wp:positionH relativeFrom="column">
            <wp:posOffset>5653405</wp:posOffset>
          </wp:positionH>
          <wp:positionV relativeFrom="paragraph">
            <wp:posOffset>-250190</wp:posOffset>
          </wp:positionV>
          <wp:extent cx="604520" cy="604520"/>
          <wp:effectExtent l="0" t="0" r="5080" b="508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A3204CF" wp14:editId="4420945D">
          <wp:simplePos x="0" y="0"/>
          <wp:positionH relativeFrom="column">
            <wp:posOffset>3409950</wp:posOffset>
          </wp:positionH>
          <wp:positionV relativeFrom="paragraph">
            <wp:posOffset>-331470</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09F5E" w14:textId="77777777" w:rsidR="003912B1" w:rsidRDefault="003912B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6AB8F" w14:textId="77777777" w:rsidR="0054160F" w:rsidRDefault="0054160F" w:rsidP="00AB1717">
      <w:r>
        <w:separator/>
      </w:r>
    </w:p>
  </w:footnote>
  <w:footnote w:type="continuationSeparator" w:id="0">
    <w:p w14:paraId="22397739" w14:textId="77777777" w:rsidR="0054160F" w:rsidRDefault="0054160F" w:rsidP="00AB1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D12D" w14:textId="2BC70CF4" w:rsidR="003912B1" w:rsidRDefault="003912B1">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07E3" w14:textId="0E48C56F" w:rsidR="002B656B" w:rsidRDefault="002B656B" w:rsidP="002B656B">
    <w:pPr>
      <w:pStyle w:val="Antet"/>
    </w:pPr>
  </w:p>
  <w:p w14:paraId="5C37BB1D" w14:textId="110B62EA" w:rsidR="00B36A1D" w:rsidRDefault="002B656B" w:rsidP="002B656B">
    <w:pPr>
      <w:pStyle w:val="Antet"/>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8CE41" w14:textId="7D366B80" w:rsidR="003912B1" w:rsidRDefault="003912B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32CAC"/>
    <w:multiLevelType w:val="hybridMultilevel"/>
    <w:tmpl w:val="D916A9E2"/>
    <w:lvl w:ilvl="0" w:tplc="F40C2AF8">
      <w:start w:val="1"/>
      <w:numFmt w:val="bullet"/>
      <w:lvlText w:val="•"/>
      <w:lvlJc w:val="left"/>
      <w:pPr>
        <w:tabs>
          <w:tab w:val="num" w:pos="720"/>
        </w:tabs>
        <w:ind w:left="720" w:hanging="360"/>
      </w:pPr>
      <w:rPr>
        <w:rFonts w:ascii="Arial" w:hAnsi="Arial" w:hint="default"/>
      </w:rPr>
    </w:lvl>
    <w:lvl w:ilvl="1" w:tplc="E1FE4BF4" w:tentative="1">
      <w:start w:val="1"/>
      <w:numFmt w:val="bullet"/>
      <w:lvlText w:val="•"/>
      <w:lvlJc w:val="left"/>
      <w:pPr>
        <w:tabs>
          <w:tab w:val="num" w:pos="1440"/>
        </w:tabs>
        <w:ind w:left="1440" w:hanging="360"/>
      </w:pPr>
      <w:rPr>
        <w:rFonts w:ascii="Arial" w:hAnsi="Arial" w:hint="default"/>
      </w:rPr>
    </w:lvl>
    <w:lvl w:ilvl="2" w:tplc="52A4BAF6" w:tentative="1">
      <w:start w:val="1"/>
      <w:numFmt w:val="bullet"/>
      <w:lvlText w:val="•"/>
      <w:lvlJc w:val="left"/>
      <w:pPr>
        <w:tabs>
          <w:tab w:val="num" w:pos="2160"/>
        </w:tabs>
        <w:ind w:left="2160" w:hanging="360"/>
      </w:pPr>
      <w:rPr>
        <w:rFonts w:ascii="Arial" w:hAnsi="Arial" w:hint="default"/>
      </w:rPr>
    </w:lvl>
    <w:lvl w:ilvl="3" w:tplc="DF8EFD78" w:tentative="1">
      <w:start w:val="1"/>
      <w:numFmt w:val="bullet"/>
      <w:lvlText w:val="•"/>
      <w:lvlJc w:val="left"/>
      <w:pPr>
        <w:tabs>
          <w:tab w:val="num" w:pos="2880"/>
        </w:tabs>
        <w:ind w:left="2880" w:hanging="360"/>
      </w:pPr>
      <w:rPr>
        <w:rFonts w:ascii="Arial" w:hAnsi="Arial" w:hint="default"/>
      </w:rPr>
    </w:lvl>
    <w:lvl w:ilvl="4" w:tplc="A34AE914" w:tentative="1">
      <w:start w:val="1"/>
      <w:numFmt w:val="bullet"/>
      <w:lvlText w:val="•"/>
      <w:lvlJc w:val="left"/>
      <w:pPr>
        <w:tabs>
          <w:tab w:val="num" w:pos="3600"/>
        </w:tabs>
        <w:ind w:left="3600" w:hanging="360"/>
      </w:pPr>
      <w:rPr>
        <w:rFonts w:ascii="Arial" w:hAnsi="Arial" w:hint="default"/>
      </w:rPr>
    </w:lvl>
    <w:lvl w:ilvl="5" w:tplc="5044A364" w:tentative="1">
      <w:start w:val="1"/>
      <w:numFmt w:val="bullet"/>
      <w:lvlText w:val="•"/>
      <w:lvlJc w:val="left"/>
      <w:pPr>
        <w:tabs>
          <w:tab w:val="num" w:pos="4320"/>
        </w:tabs>
        <w:ind w:left="4320" w:hanging="360"/>
      </w:pPr>
      <w:rPr>
        <w:rFonts w:ascii="Arial" w:hAnsi="Arial" w:hint="default"/>
      </w:rPr>
    </w:lvl>
    <w:lvl w:ilvl="6" w:tplc="C88EA974" w:tentative="1">
      <w:start w:val="1"/>
      <w:numFmt w:val="bullet"/>
      <w:lvlText w:val="•"/>
      <w:lvlJc w:val="left"/>
      <w:pPr>
        <w:tabs>
          <w:tab w:val="num" w:pos="5040"/>
        </w:tabs>
        <w:ind w:left="5040" w:hanging="360"/>
      </w:pPr>
      <w:rPr>
        <w:rFonts w:ascii="Arial" w:hAnsi="Arial" w:hint="default"/>
      </w:rPr>
    </w:lvl>
    <w:lvl w:ilvl="7" w:tplc="4E28A9BE" w:tentative="1">
      <w:start w:val="1"/>
      <w:numFmt w:val="bullet"/>
      <w:lvlText w:val="•"/>
      <w:lvlJc w:val="left"/>
      <w:pPr>
        <w:tabs>
          <w:tab w:val="num" w:pos="5760"/>
        </w:tabs>
        <w:ind w:left="5760" w:hanging="360"/>
      </w:pPr>
      <w:rPr>
        <w:rFonts w:ascii="Arial" w:hAnsi="Arial" w:hint="default"/>
      </w:rPr>
    </w:lvl>
    <w:lvl w:ilvl="8" w:tplc="930CAA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E52503"/>
    <w:multiLevelType w:val="hybridMultilevel"/>
    <w:tmpl w:val="242AA2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912FAA"/>
    <w:multiLevelType w:val="hybridMultilevel"/>
    <w:tmpl w:val="871CBACC"/>
    <w:lvl w:ilvl="0" w:tplc="C464B228">
      <w:start w:val="1"/>
      <w:numFmt w:val="bullet"/>
      <w:lvlText w:val="•"/>
      <w:lvlJc w:val="left"/>
      <w:pPr>
        <w:tabs>
          <w:tab w:val="num" w:pos="720"/>
        </w:tabs>
        <w:ind w:left="720" w:hanging="360"/>
      </w:pPr>
      <w:rPr>
        <w:rFonts w:ascii="Arial" w:hAnsi="Arial" w:hint="default"/>
      </w:rPr>
    </w:lvl>
    <w:lvl w:ilvl="1" w:tplc="1AA0B0DA" w:tentative="1">
      <w:start w:val="1"/>
      <w:numFmt w:val="bullet"/>
      <w:lvlText w:val="•"/>
      <w:lvlJc w:val="left"/>
      <w:pPr>
        <w:tabs>
          <w:tab w:val="num" w:pos="1440"/>
        </w:tabs>
        <w:ind w:left="1440" w:hanging="360"/>
      </w:pPr>
      <w:rPr>
        <w:rFonts w:ascii="Arial" w:hAnsi="Arial" w:hint="default"/>
      </w:rPr>
    </w:lvl>
    <w:lvl w:ilvl="2" w:tplc="1D4E9CAE" w:tentative="1">
      <w:start w:val="1"/>
      <w:numFmt w:val="bullet"/>
      <w:lvlText w:val="•"/>
      <w:lvlJc w:val="left"/>
      <w:pPr>
        <w:tabs>
          <w:tab w:val="num" w:pos="2160"/>
        </w:tabs>
        <w:ind w:left="2160" w:hanging="360"/>
      </w:pPr>
      <w:rPr>
        <w:rFonts w:ascii="Arial" w:hAnsi="Arial" w:hint="default"/>
      </w:rPr>
    </w:lvl>
    <w:lvl w:ilvl="3" w:tplc="2FBEED0C" w:tentative="1">
      <w:start w:val="1"/>
      <w:numFmt w:val="bullet"/>
      <w:lvlText w:val="•"/>
      <w:lvlJc w:val="left"/>
      <w:pPr>
        <w:tabs>
          <w:tab w:val="num" w:pos="2880"/>
        </w:tabs>
        <w:ind w:left="2880" w:hanging="360"/>
      </w:pPr>
      <w:rPr>
        <w:rFonts w:ascii="Arial" w:hAnsi="Arial" w:hint="default"/>
      </w:rPr>
    </w:lvl>
    <w:lvl w:ilvl="4" w:tplc="6C44C38C" w:tentative="1">
      <w:start w:val="1"/>
      <w:numFmt w:val="bullet"/>
      <w:lvlText w:val="•"/>
      <w:lvlJc w:val="left"/>
      <w:pPr>
        <w:tabs>
          <w:tab w:val="num" w:pos="3600"/>
        </w:tabs>
        <w:ind w:left="3600" w:hanging="360"/>
      </w:pPr>
      <w:rPr>
        <w:rFonts w:ascii="Arial" w:hAnsi="Arial" w:hint="default"/>
      </w:rPr>
    </w:lvl>
    <w:lvl w:ilvl="5" w:tplc="43EE66EE" w:tentative="1">
      <w:start w:val="1"/>
      <w:numFmt w:val="bullet"/>
      <w:lvlText w:val="•"/>
      <w:lvlJc w:val="left"/>
      <w:pPr>
        <w:tabs>
          <w:tab w:val="num" w:pos="4320"/>
        </w:tabs>
        <w:ind w:left="4320" w:hanging="360"/>
      </w:pPr>
      <w:rPr>
        <w:rFonts w:ascii="Arial" w:hAnsi="Arial" w:hint="default"/>
      </w:rPr>
    </w:lvl>
    <w:lvl w:ilvl="6" w:tplc="0FB8818C" w:tentative="1">
      <w:start w:val="1"/>
      <w:numFmt w:val="bullet"/>
      <w:lvlText w:val="•"/>
      <w:lvlJc w:val="left"/>
      <w:pPr>
        <w:tabs>
          <w:tab w:val="num" w:pos="5040"/>
        </w:tabs>
        <w:ind w:left="5040" w:hanging="360"/>
      </w:pPr>
      <w:rPr>
        <w:rFonts w:ascii="Arial" w:hAnsi="Arial" w:hint="default"/>
      </w:rPr>
    </w:lvl>
    <w:lvl w:ilvl="7" w:tplc="7188EFBC" w:tentative="1">
      <w:start w:val="1"/>
      <w:numFmt w:val="bullet"/>
      <w:lvlText w:val="•"/>
      <w:lvlJc w:val="left"/>
      <w:pPr>
        <w:tabs>
          <w:tab w:val="num" w:pos="5760"/>
        </w:tabs>
        <w:ind w:left="5760" w:hanging="360"/>
      </w:pPr>
      <w:rPr>
        <w:rFonts w:ascii="Arial" w:hAnsi="Arial" w:hint="default"/>
      </w:rPr>
    </w:lvl>
    <w:lvl w:ilvl="8" w:tplc="94284EB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854F3D"/>
    <w:multiLevelType w:val="multilevel"/>
    <w:tmpl w:val="1E3AF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321FF4"/>
    <w:multiLevelType w:val="hybridMultilevel"/>
    <w:tmpl w:val="15A0EE3A"/>
    <w:lvl w:ilvl="0" w:tplc="B5040306">
      <w:start w:val="1"/>
      <w:numFmt w:val="bullet"/>
      <w:lvlText w:val="•"/>
      <w:lvlJc w:val="left"/>
      <w:pPr>
        <w:tabs>
          <w:tab w:val="num" w:pos="720"/>
        </w:tabs>
        <w:ind w:left="720" w:hanging="360"/>
      </w:pPr>
      <w:rPr>
        <w:rFonts w:ascii="Arial" w:hAnsi="Arial" w:hint="default"/>
      </w:rPr>
    </w:lvl>
    <w:lvl w:ilvl="1" w:tplc="4BF0CE14" w:tentative="1">
      <w:start w:val="1"/>
      <w:numFmt w:val="bullet"/>
      <w:lvlText w:val="•"/>
      <w:lvlJc w:val="left"/>
      <w:pPr>
        <w:tabs>
          <w:tab w:val="num" w:pos="1440"/>
        </w:tabs>
        <w:ind w:left="1440" w:hanging="360"/>
      </w:pPr>
      <w:rPr>
        <w:rFonts w:ascii="Arial" w:hAnsi="Arial" w:hint="default"/>
      </w:rPr>
    </w:lvl>
    <w:lvl w:ilvl="2" w:tplc="6ED8F4F0" w:tentative="1">
      <w:start w:val="1"/>
      <w:numFmt w:val="bullet"/>
      <w:lvlText w:val="•"/>
      <w:lvlJc w:val="left"/>
      <w:pPr>
        <w:tabs>
          <w:tab w:val="num" w:pos="2160"/>
        </w:tabs>
        <w:ind w:left="2160" w:hanging="360"/>
      </w:pPr>
      <w:rPr>
        <w:rFonts w:ascii="Arial" w:hAnsi="Arial" w:hint="default"/>
      </w:rPr>
    </w:lvl>
    <w:lvl w:ilvl="3" w:tplc="35B6E79A" w:tentative="1">
      <w:start w:val="1"/>
      <w:numFmt w:val="bullet"/>
      <w:lvlText w:val="•"/>
      <w:lvlJc w:val="left"/>
      <w:pPr>
        <w:tabs>
          <w:tab w:val="num" w:pos="2880"/>
        </w:tabs>
        <w:ind w:left="2880" w:hanging="360"/>
      </w:pPr>
      <w:rPr>
        <w:rFonts w:ascii="Arial" w:hAnsi="Arial" w:hint="default"/>
      </w:rPr>
    </w:lvl>
    <w:lvl w:ilvl="4" w:tplc="A58093A0" w:tentative="1">
      <w:start w:val="1"/>
      <w:numFmt w:val="bullet"/>
      <w:lvlText w:val="•"/>
      <w:lvlJc w:val="left"/>
      <w:pPr>
        <w:tabs>
          <w:tab w:val="num" w:pos="3600"/>
        </w:tabs>
        <w:ind w:left="3600" w:hanging="360"/>
      </w:pPr>
      <w:rPr>
        <w:rFonts w:ascii="Arial" w:hAnsi="Arial" w:hint="default"/>
      </w:rPr>
    </w:lvl>
    <w:lvl w:ilvl="5" w:tplc="ECD65156" w:tentative="1">
      <w:start w:val="1"/>
      <w:numFmt w:val="bullet"/>
      <w:lvlText w:val="•"/>
      <w:lvlJc w:val="left"/>
      <w:pPr>
        <w:tabs>
          <w:tab w:val="num" w:pos="4320"/>
        </w:tabs>
        <w:ind w:left="4320" w:hanging="360"/>
      </w:pPr>
      <w:rPr>
        <w:rFonts w:ascii="Arial" w:hAnsi="Arial" w:hint="default"/>
      </w:rPr>
    </w:lvl>
    <w:lvl w:ilvl="6" w:tplc="D5F6E1BE" w:tentative="1">
      <w:start w:val="1"/>
      <w:numFmt w:val="bullet"/>
      <w:lvlText w:val="•"/>
      <w:lvlJc w:val="left"/>
      <w:pPr>
        <w:tabs>
          <w:tab w:val="num" w:pos="5040"/>
        </w:tabs>
        <w:ind w:left="5040" w:hanging="360"/>
      </w:pPr>
      <w:rPr>
        <w:rFonts w:ascii="Arial" w:hAnsi="Arial" w:hint="default"/>
      </w:rPr>
    </w:lvl>
    <w:lvl w:ilvl="7" w:tplc="F528C80E" w:tentative="1">
      <w:start w:val="1"/>
      <w:numFmt w:val="bullet"/>
      <w:lvlText w:val="•"/>
      <w:lvlJc w:val="left"/>
      <w:pPr>
        <w:tabs>
          <w:tab w:val="num" w:pos="5760"/>
        </w:tabs>
        <w:ind w:left="5760" w:hanging="360"/>
      </w:pPr>
      <w:rPr>
        <w:rFonts w:ascii="Arial" w:hAnsi="Arial" w:hint="default"/>
      </w:rPr>
    </w:lvl>
    <w:lvl w:ilvl="8" w:tplc="5FA00C2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E37710"/>
    <w:multiLevelType w:val="hybridMultilevel"/>
    <w:tmpl w:val="D56E8836"/>
    <w:lvl w:ilvl="0" w:tplc="29F62E06">
      <w:start w:val="1"/>
      <w:numFmt w:val="bullet"/>
      <w:lvlText w:val="•"/>
      <w:lvlJc w:val="left"/>
      <w:pPr>
        <w:tabs>
          <w:tab w:val="num" w:pos="720"/>
        </w:tabs>
        <w:ind w:left="720" w:hanging="360"/>
      </w:pPr>
      <w:rPr>
        <w:rFonts w:ascii="Arial" w:hAnsi="Arial" w:hint="default"/>
      </w:rPr>
    </w:lvl>
    <w:lvl w:ilvl="1" w:tplc="1B10B9C0" w:tentative="1">
      <w:start w:val="1"/>
      <w:numFmt w:val="bullet"/>
      <w:lvlText w:val="•"/>
      <w:lvlJc w:val="left"/>
      <w:pPr>
        <w:tabs>
          <w:tab w:val="num" w:pos="1440"/>
        </w:tabs>
        <w:ind w:left="1440" w:hanging="360"/>
      </w:pPr>
      <w:rPr>
        <w:rFonts w:ascii="Arial" w:hAnsi="Arial" w:hint="default"/>
      </w:rPr>
    </w:lvl>
    <w:lvl w:ilvl="2" w:tplc="717289B0" w:tentative="1">
      <w:start w:val="1"/>
      <w:numFmt w:val="bullet"/>
      <w:lvlText w:val="•"/>
      <w:lvlJc w:val="left"/>
      <w:pPr>
        <w:tabs>
          <w:tab w:val="num" w:pos="2160"/>
        </w:tabs>
        <w:ind w:left="2160" w:hanging="360"/>
      </w:pPr>
      <w:rPr>
        <w:rFonts w:ascii="Arial" w:hAnsi="Arial" w:hint="default"/>
      </w:rPr>
    </w:lvl>
    <w:lvl w:ilvl="3" w:tplc="AF9A53A6" w:tentative="1">
      <w:start w:val="1"/>
      <w:numFmt w:val="bullet"/>
      <w:lvlText w:val="•"/>
      <w:lvlJc w:val="left"/>
      <w:pPr>
        <w:tabs>
          <w:tab w:val="num" w:pos="2880"/>
        </w:tabs>
        <w:ind w:left="2880" w:hanging="360"/>
      </w:pPr>
      <w:rPr>
        <w:rFonts w:ascii="Arial" w:hAnsi="Arial" w:hint="default"/>
      </w:rPr>
    </w:lvl>
    <w:lvl w:ilvl="4" w:tplc="6F00E242" w:tentative="1">
      <w:start w:val="1"/>
      <w:numFmt w:val="bullet"/>
      <w:lvlText w:val="•"/>
      <w:lvlJc w:val="left"/>
      <w:pPr>
        <w:tabs>
          <w:tab w:val="num" w:pos="3600"/>
        </w:tabs>
        <w:ind w:left="3600" w:hanging="360"/>
      </w:pPr>
      <w:rPr>
        <w:rFonts w:ascii="Arial" w:hAnsi="Arial" w:hint="default"/>
      </w:rPr>
    </w:lvl>
    <w:lvl w:ilvl="5" w:tplc="AFE21BC0" w:tentative="1">
      <w:start w:val="1"/>
      <w:numFmt w:val="bullet"/>
      <w:lvlText w:val="•"/>
      <w:lvlJc w:val="left"/>
      <w:pPr>
        <w:tabs>
          <w:tab w:val="num" w:pos="4320"/>
        </w:tabs>
        <w:ind w:left="4320" w:hanging="360"/>
      </w:pPr>
      <w:rPr>
        <w:rFonts w:ascii="Arial" w:hAnsi="Arial" w:hint="default"/>
      </w:rPr>
    </w:lvl>
    <w:lvl w:ilvl="6" w:tplc="F29ABFB2" w:tentative="1">
      <w:start w:val="1"/>
      <w:numFmt w:val="bullet"/>
      <w:lvlText w:val="•"/>
      <w:lvlJc w:val="left"/>
      <w:pPr>
        <w:tabs>
          <w:tab w:val="num" w:pos="5040"/>
        </w:tabs>
        <w:ind w:left="5040" w:hanging="360"/>
      </w:pPr>
      <w:rPr>
        <w:rFonts w:ascii="Arial" w:hAnsi="Arial" w:hint="default"/>
      </w:rPr>
    </w:lvl>
    <w:lvl w:ilvl="7" w:tplc="CAA4AEB0" w:tentative="1">
      <w:start w:val="1"/>
      <w:numFmt w:val="bullet"/>
      <w:lvlText w:val="•"/>
      <w:lvlJc w:val="left"/>
      <w:pPr>
        <w:tabs>
          <w:tab w:val="num" w:pos="5760"/>
        </w:tabs>
        <w:ind w:left="5760" w:hanging="360"/>
      </w:pPr>
      <w:rPr>
        <w:rFonts w:ascii="Arial" w:hAnsi="Arial" w:hint="default"/>
      </w:rPr>
    </w:lvl>
    <w:lvl w:ilvl="8" w:tplc="00C60EF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1043FA0"/>
    <w:multiLevelType w:val="hybridMultilevel"/>
    <w:tmpl w:val="3E769B80"/>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BB043E"/>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FAB705A"/>
    <w:multiLevelType w:val="hybridMultilevel"/>
    <w:tmpl w:val="D94A8AFA"/>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3739DB"/>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99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10" w15:restartNumberingAfterBreak="0">
    <w:nsid w:val="3369024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BC76CB"/>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D21C79"/>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CD5748"/>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C96C3F"/>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EF977B9"/>
    <w:multiLevelType w:val="hybridMultilevel"/>
    <w:tmpl w:val="8AFEA2BE"/>
    <w:lvl w:ilvl="0" w:tplc="747C4DB8">
      <w:start w:val="1"/>
      <w:numFmt w:val="bullet"/>
      <w:lvlText w:val="•"/>
      <w:lvlJc w:val="left"/>
      <w:pPr>
        <w:tabs>
          <w:tab w:val="num" w:pos="720"/>
        </w:tabs>
        <w:ind w:left="720" w:hanging="360"/>
      </w:pPr>
      <w:rPr>
        <w:rFonts w:ascii="Arial" w:hAnsi="Arial" w:hint="default"/>
      </w:rPr>
    </w:lvl>
    <w:lvl w:ilvl="1" w:tplc="C608A066">
      <w:start w:val="180"/>
      <w:numFmt w:val="lowerLetter"/>
      <w:lvlText w:val="%2."/>
      <w:lvlJc w:val="left"/>
      <w:pPr>
        <w:tabs>
          <w:tab w:val="num" w:pos="1440"/>
        </w:tabs>
        <w:ind w:left="1440" w:hanging="360"/>
      </w:pPr>
      <w:rPr>
        <w:rFonts w:ascii="Times New Roman" w:eastAsia="Times New Roman" w:hAnsi="Times New Roman" w:cs="Times New Roman"/>
      </w:rPr>
    </w:lvl>
    <w:lvl w:ilvl="2" w:tplc="6A48D5E6" w:tentative="1">
      <w:start w:val="1"/>
      <w:numFmt w:val="bullet"/>
      <w:lvlText w:val="•"/>
      <w:lvlJc w:val="left"/>
      <w:pPr>
        <w:tabs>
          <w:tab w:val="num" w:pos="2160"/>
        </w:tabs>
        <w:ind w:left="2160" w:hanging="360"/>
      </w:pPr>
      <w:rPr>
        <w:rFonts w:ascii="Arial" w:hAnsi="Arial" w:hint="default"/>
      </w:rPr>
    </w:lvl>
    <w:lvl w:ilvl="3" w:tplc="4F32C976" w:tentative="1">
      <w:start w:val="1"/>
      <w:numFmt w:val="bullet"/>
      <w:lvlText w:val="•"/>
      <w:lvlJc w:val="left"/>
      <w:pPr>
        <w:tabs>
          <w:tab w:val="num" w:pos="2880"/>
        </w:tabs>
        <w:ind w:left="2880" w:hanging="360"/>
      </w:pPr>
      <w:rPr>
        <w:rFonts w:ascii="Arial" w:hAnsi="Arial" w:hint="default"/>
      </w:rPr>
    </w:lvl>
    <w:lvl w:ilvl="4" w:tplc="6CE87A0E" w:tentative="1">
      <w:start w:val="1"/>
      <w:numFmt w:val="bullet"/>
      <w:lvlText w:val="•"/>
      <w:lvlJc w:val="left"/>
      <w:pPr>
        <w:tabs>
          <w:tab w:val="num" w:pos="3600"/>
        </w:tabs>
        <w:ind w:left="3600" w:hanging="360"/>
      </w:pPr>
      <w:rPr>
        <w:rFonts w:ascii="Arial" w:hAnsi="Arial" w:hint="default"/>
      </w:rPr>
    </w:lvl>
    <w:lvl w:ilvl="5" w:tplc="03B0EC5E" w:tentative="1">
      <w:start w:val="1"/>
      <w:numFmt w:val="bullet"/>
      <w:lvlText w:val="•"/>
      <w:lvlJc w:val="left"/>
      <w:pPr>
        <w:tabs>
          <w:tab w:val="num" w:pos="4320"/>
        </w:tabs>
        <w:ind w:left="4320" w:hanging="360"/>
      </w:pPr>
      <w:rPr>
        <w:rFonts w:ascii="Arial" w:hAnsi="Arial" w:hint="default"/>
      </w:rPr>
    </w:lvl>
    <w:lvl w:ilvl="6" w:tplc="78944248" w:tentative="1">
      <w:start w:val="1"/>
      <w:numFmt w:val="bullet"/>
      <w:lvlText w:val="•"/>
      <w:lvlJc w:val="left"/>
      <w:pPr>
        <w:tabs>
          <w:tab w:val="num" w:pos="5040"/>
        </w:tabs>
        <w:ind w:left="5040" w:hanging="360"/>
      </w:pPr>
      <w:rPr>
        <w:rFonts w:ascii="Arial" w:hAnsi="Arial" w:hint="default"/>
      </w:rPr>
    </w:lvl>
    <w:lvl w:ilvl="7" w:tplc="51328206" w:tentative="1">
      <w:start w:val="1"/>
      <w:numFmt w:val="bullet"/>
      <w:lvlText w:val="•"/>
      <w:lvlJc w:val="left"/>
      <w:pPr>
        <w:tabs>
          <w:tab w:val="num" w:pos="5760"/>
        </w:tabs>
        <w:ind w:left="5760" w:hanging="360"/>
      </w:pPr>
      <w:rPr>
        <w:rFonts w:ascii="Arial" w:hAnsi="Arial" w:hint="default"/>
      </w:rPr>
    </w:lvl>
    <w:lvl w:ilvl="8" w:tplc="B136DD1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1CF4792"/>
    <w:multiLevelType w:val="hybridMultilevel"/>
    <w:tmpl w:val="DF487B4C"/>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6B00F3"/>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3F728A"/>
    <w:multiLevelType w:val="hybridMultilevel"/>
    <w:tmpl w:val="D402DF20"/>
    <w:lvl w:ilvl="0" w:tplc="821029DC">
      <w:start w:val="1"/>
      <w:numFmt w:val="bullet"/>
      <w:lvlText w:val="•"/>
      <w:lvlJc w:val="left"/>
      <w:pPr>
        <w:tabs>
          <w:tab w:val="num" w:pos="720"/>
        </w:tabs>
        <w:ind w:left="720" w:hanging="360"/>
      </w:pPr>
      <w:rPr>
        <w:rFonts w:ascii="Arial" w:hAnsi="Arial" w:hint="default"/>
      </w:rPr>
    </w:lvl>
    <w:lvl w:ilvl="1" w:tplc="49466478" w:tentative="1">
      <w:start w:val="1"/>
      <w:numFmt w:val="bullet"/>
      <w:lvlText w:val="•"/>
      <w:lvlJc w:val="left"/>
      <w:pPr>
        <w:tabs>
          <w:tab w:val="num" w:pos="1440"/>
        </w:tabs>
        <w:ind w:left="1440" w:hanging="360"/>
      </w:pPr>
      <w:rPr>
        <w:rFonts w:ascii="Arial" w:hAnsi="Arial" w:hint="default"/>
      </w:rPr>
    </w:lvl>
    <w:lvl w:ilvl="2" w:tplc="CDA4C8AC" w:tentative="1">
      <w:start w:val="1"/>
      <w:numFmt w:val="bullet"/>
      <w:lvlText w:val="•"/>
      <w:lvlJc w:val="left"/>
      <w:pPr>
        <w:tabs>
          <w:tab w:val="num" w:pos="2160"/>
        </w:tabs>
        <w:ind w:left="2160" w:hanging="360"/>
      </w:pPr>
      <w:rPr>
        <w:rFonts w:ascii="Arial" w:hAnsi="Arial" w:hint="default"/>
      </w:rPr>
    </w:lvl>
    <w:lvl w:ilvl="3" w:tplc="06FE8F7C" w:tentative="1">
      <w:start w:val="1"/>
      <w:numFmt w:val="bullet"/>
      <w:lvlText w:val="•"/>
      <w:lvlJc w:val="left"/>
      <w:pPr>
        <w:tabs>
          <w:tab w:val="num" w:pos="2880"/>
        </w:tabs>
        <w:ind w:left="2880" w:hanging="360"/>
      </w:pPr>
      <w:rPr>
        <w:rFonts w:ascii="Arial" w:hAnsi="Arial" w:hint="default"/>
      </w:rPr>
    </w:lvl>
    <w:lvl w:ilvl="4" w:tplc="30860E1A" w:tentative="1">
      <w:start w:val="1"/>
      <w:numFmt w:val="bullet"/>
      <w:lvlText w:val="•"/>
      <w:lvlJc w:val="left"/>
      <w:pPr>
        <w:tabs>
          <w:tab w:val="num" w:pos="3600"/>
        </w:tabs>
        <w:ind w:left="3600" w:hanging="360"/>
      </w:pPr>
      <w:rPr>
        <w:rFonts w:ascii="Arial" w:hAnsi="Arial" w:hint="default"/>
      </w:rPr>
    </w:lvl>
    <w:lvl w:ilvl="5" w:tplc="817CFA94" w:tentative="1">
      <w:start w:val="1"/>
      <w:numFmt w:val="bullet"/>
      <w:lvlText w:val="•"/>
      <w:lvlJc w:val="left"/>
      <w:pPr>
        <w:tabs>
          <w:tab w:val="num" w:pos="4320"/>
        </w:tabs>
        <w:ind w:left="4320" w:hanging="360"/>
      </w:pPr>
      <w:rPr>
        <w:rFonts w:ascii="Arial" w:hAnsi="Arial" w:hint="default"/>
      </w:rPr>
    </w:lvl>
    <w:lvl w:ilvl="6" w:tplc="828A50FA" w:tentative="1">
      <w:start w:val="1"/>
      <w:numFmt w:val="bullet"/>
      <w:lvlText w:val="•"/>
      <w:lvlJc w:val="left"/>
      <w:pPr>
        <w:tabs>
          <w:tab w:val="num" w:pos="5040"/>
        </w:tabs>
        <w:ind w:left="5040" w:hanging="360"/>
      </w:pPr>
      <w:rPr>
        <w:rFonts w:ascii="Arial" w:hAnsi="Arial" w:hint="default"/>
      </w:rPr>
    </w:lvl>
    <w:lvl w:ilvl="7" w:tplc="04241C50" w:tentative="1">
      <w:start w:val="1"/>
      <w:numFmt w:val="bullet"/>
      <w:lvlText w:val="•"/>
      <w:lvlJc w:val="left"/>
      <w:pPr>
        <w:tabs>
          <w:tab w:val="num" w:pos="5760"/>
        </w:tabs>
        <w:ind w:left="5760" w:hanging="360"/>
      </w:pPr>
      <w:rPr>
        <w:rFonts w:ascii="Arial" w:hAnsi="Arial" w:hint="default"/>
      </w:rPr>
    </w:lvl>
    <w:lvl w:ilvl="8" w:tplc="73CE28A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8237A16"/>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9D4BCD"/>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9D2265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B0294C"/>
    <w:multiLevelType w:val="multilevel"/>
    <w:tmpl w:val="05A253F2"/>
    <w:lvl w:ilvl="0">
      <w:start w:val="1"/>
      <w:numFmt w:val="decimal"/>
      <w:lvlText w:val="%1."/>
      <w:lvlJc w:val="right"/>
      <w:pPr>
        <w:tabs>
          <w:tab w:val="num" w:pos="720"/>
        </w:tabs>
        <w:ind w:left="720" w:hanging="360"/>
      </w:pPr>
      <w:rPr>
        <w:rFonts w:ascii="Times New Roman" w:hAnsi="Times New Roman" w:cs="Times New Roman"/>
        <w:b/>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5C933492"/>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4" w15:restartNumberingAfterBreak="0">
    <w:nsid w:val="5D432A57"/>
    <w:multiLevelType w:val="hybridMultilevel"/>
    <w:tmpl w:val="A112C510"/>
    <w:lvl w:ilvl="0" w:tplc="BEA694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286C28"/>
    <w:multiLevelType w:val="hybridMultilevel"/>
    <w:tmpl w:val="7EFAB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DD0CCF"/>
    <w:multiLevelType w:val="hybridMultilevel"/>
    <w:tmpl w:val="B91256D8"/>
    <w:lvl w:ilvl="0" w:tplc="6B8C560E">
      <w:start w:val="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650640C"/>
    <w:multiLevelType w:val="hybridMultilevel"/>
    <w:tmpl w:val="844275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DE01C8"/>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9" w15:restartNumberingAfterBreak="0">
    <w:nsid w:val="79B61F89"/>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30" w15:restartNumberingAfterBreak="0">
    <w:nsid w:val="7B2F03AE"/>
    <w:multiLevelType w:val="multilevel"/>
    <w:tmpl w:val="C6286490"/>
    <w:lvl w:ilvl="0">
      <w:start w:val="3"/>
      <w:numFmt w:val="decimal"/>
      <w:lvlText w:val="%1"/>
      <w:lvlJc w:val="left"/>
      <w:pPr>
        <w:ind w:left="360" w:hanging="360"/>
      </w:pPr>
      <w:rPr>
        <w:rFonts w:hint="default"/>
        <w:sz w:val="18"/>
      </w:rPr>
    </w:lvl>
    <w:lvl w:ilvl="1">
      <w:start w:val="1"/>
      <w:numFmt w:val="decimal"/>
      <w:lvlText w:val="%1.%2"/>
      <w:lvlJc w:val="left"/>
      <w:pPr>
        <w:ind w:left="720" w:hanging="360"/>
      </w:pPr>
      <w:rPr>
        <w:rFonts w:hint="default"/>
        <w:sz w:val="18"/>
      </w:rPr>
    </w:lvl>
    <w:lvl w:ilvl="2">
      <w:start w:val="1"/>
      <w:numFmt w:val="decimal"/>
      <w:lvlText w:val="%1.%2.%3"/>
      <w:lvlJc w:val="left"/>
      <w:pPr>
        <w:ind w:left="1440" w:hanging="720"/>
      </w:pPr>
      <w:rPr>
        <w:rFonts w:hint="default"/>
        <w:sz w:val="18"/>
      </w:rPr>
    </w:lvl>
    <w:lvl w:ilvl="3">
      <w:start w:val="1"/>
      <w:numFmt w:val="decimal"/>
      <w:lvlText w:val="%1.%2.%3.%4"/>
      <w:lvlJc w:val="left"/>
      <w:pPr>
        <w:ind w:left="1800" w:hanging="720"/>
      </w:pPr>
      <w:rPr>
        <w:rFonts w:hint="default"/>
        <w:sz w:val="18"/>
      </w:rPr>
    </w:lvl>
    <w:lvl w:ilvl="4">
      <w:start w:val="1"/>
      <w:numFmt w:val="decimal"/>
      <w:lvlText w:val="%1.%2.%3.%4.%5"/>
      <w:lvlJc w:val="left"/>
      <w:pPr>
        <w:ind w:left="2520" w:hanging="1080"/>
      </w:pPr>
      <w:rPr>
        <w:rFonts w:hint="default"/>
        <w:sz w:val="18"/>
      </w:rPr>
    </w:lvl>
    <w:lvl w:ilvl="5">
      <w:start w:val="1"/>
      <w:numFmt w:val="decimal"/>
      <w:lvlText w:val="%1.%2.%3.%4.%5.%6"/>
      <w:lvlJc w:val="left"/>
      <w:pPr>
        <w:ind w:left="2880" w:hanging="1080"/>
      </w:pPr>
      <w:rPr>
        <w:rFonts w:hint="default"/>
        <w:sz w:val="18"/>
      </w:rPr>
    </w:lvl>
    <w:lvl w:ilvl="6">
      <w:start w:val="1"/>
      <w:numFmt w:val="decimal"/>
      <w:lvlText w:val="%1.%2.%3.%4.%5.%6.%7"/>
      <w:lvlJc w:val="left"/>
      <w:pPr>
        <w:ind w:left="3600" w:hanging="1440"/>
      </w:pPr>
      <w:rPr>
        <w:rFonts w:hint="default"/>
        <w:sz w:val="18"/>
      </w:rPr>
    </w:lvl>
    <w:lvl w:ilvl="7">
      <w:start w:val="1"/>
      <w:numFmt w:val="decimal"/>
      <w:lvlText w:val="%1.%2.%3.%4.%5.%6.%7.%8"/>
      <w:lvlJc w:val="left"/>
      <w:pPr>
        <w:ind w:left="3960" w:hanging="1440"/>
      </w:pPr>
      <w:rPr>
        <w:rFonts w:hint="default"/>
        <w:sz w:val="18"/>
      </w:rPr>
    </w:lvl>
    <w:lvl w:ilvl="8">
      <w:start w:val="1"/>
      <w:numFmt w:val="decimal"/>
      <w:lvlText w:val="%1.%2.%3.%4.%5.%6.%7.%8.%9"/>
      <w:lvlJc w:val="left"/>
      <w:pPr>
        <w:ind w:left="4680" w:hanging="1800"/>
      </w:pPr>
      <w:rPr>
        <w:rFonts w:hint="default"/>
        <w:sz w:val="18"/>
      </w:rPr>
    </w:lvl>
  </w:abstractNum>
  <w:num w:numId="1" w16cid:durableId="946153295">
    <w:abstractNumId w:val="12"/>
  </w:num>
  <w:num w:numId="2" w16cid:durableId="740716780">
    <w:abstractNumId w:val="11"/>
  </w:num>
  <w:num w:numId="3" w16cid:durableId="20858041">
    <w:abstractNumId w:val="29"/>
  </w:num>
  <w:num w:numId="4" w16cid:durableId="771824093">
    <w:abstractNumId w:val="23"/>
  </w:num>
  <w:num w:numId="5" w16cid:durableId="1039017712">
    <w:abstractNumId w:val="28"/>
  </w:num>
  <w:num w:numId="6" w16cid:durableId="1105423134">
    <w:abstractNumId w:val="30"/>
  </w:num>
  <w:num w:numId="7" w16cid:durableId="1423526036">
    <w:abstractNumId w:val="9"/>
  </w:num>
  <w:num w:numId="8" w16cid:durableId="1789812783">
    <w:abstractNumId w:val="7"/>
  </w:num>
  <w:num w:numId="9" w16cid:durableId="1016267873">
    <w:abstractNumId w:val="20"/>
  </w:num>
  <w:num w:numId="10" w16cid:durableId="2001539425">
    <w:abstractNumId w:val="27"/>
  </w:num>
  <w:num w:numId="11" w16cid:durableId="361563595">
    <w:abstractNumId w:val="25"/>
  </w:num>
  <w:num w:numId="12" w16cid:durableId="1166243126">
    <w:abstractNumId w:val="13"/>
  </w:num>
  <w:num w:numId="13" w16cid:durableId="372853573">
    <w:abstractNumId w:val="17"/>
  </w:num>
  <w:num w:numId="14" w16cid:durableId="143476364">
    <w:abstractNumId w:val="10"/>
  </w:num>
  <w:num w:numId="15" w16cid:durableId="662703651">
    <w:abstractNumId w:val="19"/>
  </w:num>
  <w:num w:numId="16" w16cid:durableId="1003317969">
    <w:abstractNumId w:val="21"/>
  </w:num>
  <w:num w:numId="17" w16cid:durableId="1470636971">
    <w:abstractNumId w:val="14"/>
  </w:num>
  <w:num w:numId="18" w16cid:durableId="1240287131">
    <w:abstractNumId w:val="8"/>
  </w:num>
  <w:num w:numId="19" w16cid:durableId="1256279723">
    <w:abstractNumId w:val="16"/>
  </w:num>
  <w:num w:numId="20" w16cid:durableId="1534224922">
    <w:abstractNumId w:val="6"/>
  </w:num>
  <w:num w:numId="21" w16cid:durableId="450783994">
    <w:abstractNumId w:val="24"/>
  </w:num>
  <w:num w:numId="22" w16cid:durableId="4359030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28745487">
    <w:abstractNumId w:val="18"/>
  </w:num>
  <w:num w:numId="24" w16cid:durableId="679812881">
    <w:abstractNumId w:val="5"/>
  </w:num>
  <w:num w:numId="25" w16cid:durableId="1298956139">
    <w:abstractNumId w:val="15"/>
  </w:num>
  <w:num w:numId="26" w16cid:durableId="176312774">
    <w:abstractNumId w:val="2"/>
  </w:num>
  <w:num w:numId="27" w16cid:durableId="1307705851">
    <w:abstractNumId w:val="4"/>
  </w:num>
  <w:num w:numId="28" w16cid:durableId="1760448790">
    <w:abstractNumId w:val="0"/>
  </w:num>
  <w:num w:numId="29" w16cid:durableId="1814326712">
    <w:abstractNumId w:val="3"/>
  </w:num>
  <w:num w:numId="30" w16cid:durableId="51541957">
    <w:abstractNumId w:val="1"/>
  </w:num>
  <w:num w:numId="31" w16cid:durableId="188602150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07E"/>
    <w:rsid w:val="00004E4F"/>
    <w:rsid w:val="00004F90"/>
    <w:rsid w:val="000050A0"/>
    <w:rsid w:val="00011D23"/>
    <w:rsid w:val="00024147"/>
    <w:rsid w:val="00030B97"/>
    <w:rsid w:val="00062B55"/>
    <w:rsid w:val="00070A49"/>
    <w:rsid w:val="000969E1"/>
    <w:rsid w:val="000C0B43"/>
    <w:rsid w:val="000C1CD2"/>
    <w:rsid w:val="000C2E11"/>
    <w:rsid w:val="000D427A"/>
    <w:rsid w:val="000E2DE4"/>
    <w:rsid w:val="000F3DAC"/>
    <w:rsid w:val="000F4924"/>
    <w:rsid w:val="001156D5"/>
    <w:rsid w:val="001267CC"/>
    <w:rsid w:val="0013356F"/>
    <w:rsid w:val="001452F6"/>
    <w:rsid w:val="00147706"/>
    <w:rsid w:val="00152FC5"/>
    <w:rsid w:val="00166119"/>
    <w:rsid w:val="00171DB5"/>
    <w:rsid w:val="00185C81"/>
    <w:rsid w:val="00191E36"/>
    <w:rsid w:val="001948AF"/>
    <w:rsid w:val="001967CC"/>
    <w:rsid w:val="001B5AC2"/>
    <w:rsid w:val="001C24E7"/>
    <w:rsid w:val="001C7BE7"/>
    <w:rsid w:val="001E0C13"/>
    <w:rsid w:val="001E122F"/>
    <w:rsid w:val="001E2A0E"/>
    <w:rsid w:val="001E65EA"/>
    <w:rsid w:val="0020019F"/>
    <w:rsid w:val="0022780B"/>
    <w:rsid w:val="0023057F"/>
    <w:rsid w:val="002305FC"/>
    <w:rsid w:val="00242874"/>
    <w:rsid w:val="00246A92"/>
    <w:rsid w:val="00253AFC"/>
    <w:rsid w:val="002633C5"/>
    <w:rsid w:val="002704A5"/>
    <w:rsid w:val="0027348F"/>
    <w:rsid w:val="00274D36"/>
    <w:rsid w:val="00277580"/>
    <w:rsid w:val="00284469"/>
    <w:rsid w:val="002A4161"/>
    <w:rsid w:val="002A5BAF"/>
    <w:rsid w:val="002B656B"/>
    <w:rsid w:val="002C1977"/>
    <w:rsid w:val="002C2C62"/>
    <w:rsid w:val="002D37DF"/>
    <w:rsid w:val="002E226E"/>
    <w:rsid w:val="002E2DAE"/>
    <w:rsid w:val="002F4E43"/>
    <w:rsid w:val="00303EDC"/>
    <w:rsid w:val="00317F5E"/>
    <w:rsid w:val="00336B6C"/>
    <w:rsid w:val="003700DE"/>
    <w:rsid w:val="003912B1"/>
    <w:rsid w:val="003B196B"/>
    <w:rsid w:val="003B21BC"/>
    <w:rsid w:val="003B7F75"/>
    <w:rsid w:val="003F33D6"/>
    <w:rsid w:val="003F4720"/>
    <w:rsid w:val="0040230B"/>
    <w:rsid w:val="004131A7"/>
    <w:rsid w:val="00413FDB"/>
    <w:rsid w:val="00417706"/>
    <w:rsid w:val="00423B15"/>
    <w:rsid w:val="00435098"/>
    <w:rsid w:val="004455A6"/>
    <w:rsid w:val="004477FD"/>
    <w:rsid w:val="00455D6E"/>
    <w:rsid w:val="004720E3"/>
    <w:rsid w:val="00474D39"/>
    <w:rsid w:val="004914E6"/>
    <w:rsid w:val="0049310D"/>
    <w:rsid w:val="0049780E"/>
    <w:rsid w:val="004A5097"/>
    <w:rsid w:val="004A76F4"/>
    <w:rsid w:val="004B1B52"/>
    <w:rsid w:val="004C70E4"/>
    <w:rsid w:val="004D3E97"/>
    <w:rsid w:val="004D4B19"/>
    <w:rsid w:val="004E340F"/>
    <w:rsid w:val="005101EF"/>
    <w:rsid w:val="00536D15"/>
    <w:rsid w:val="0054160F"/>
    <w:rsid w:val="005639BE"/>
    <w:rsid w:val="00574D74"/>
    <w:rsid w:val="00577F50"/>
    <w:rsid w:val="00581C53"/>
    <w:rsid w:val="00581E29"/>
    <w:rsid w:val="00590816"/>
    <w:rsid w:val="005954D5"/>
    <w:rsid w:val="00596831"/>
    <w:rsid w:val="005A2DBF"/>
    <w:rsid w:val="005A3363"/>
    <w:rsid w:val="0061421D"/>
    <w:rsid w:val="0061699E"/>
    <w:rsid w:val="00620682"/>
    <w:rsid w:val="00625175"/>
    <w:rsid w:val="00631ED2"/>
    <w:rsid w:val="00634285"/>
    <w:rsid w:val="006450A4"/>
    <w:rsid w:val="00655CDB"/>
    <w:rsid w:val="00661684"/>
    <w:rsid w:val="0066392D"/>
    <w:rsid w:val="00664EF3"/>
    <w:rsid w:val="00670357"/>
    <w:rsid w:val="0067399A"/>
    <w:rsid w:val="00677E42"/>
    <w:rsid w:val="006823AE"/>
    <w:rsid w:val="0069346B"/>
    <w:rsid w:val="006B0206"/>
    <w:rsid w:val="006D14B6"/>
    <w:rsid w:val="006D53E3"/>
    <w:rsid w:val="006F4AF7"/>
    <w:rsid w:val="006F664F"/>
    <w:rsid w:val="00706CD6"/>
    <w:rsid w:val="00722A18"/>
    <w:rsid w:val="00794754"/>
    <w:rsid w:val="007963A1"/>
    <w:rsid w:val="00797878"/>
    <w:rsid w:val="007B1A6E"/>
    <w:rsid w:val="007D3B7F"/>
    <w:rsid w:val="007D43FF"/>
    <w:rsid w:val="007D467E"/>
    <w:rsid w:val="007F472F"/>
    <w:rsid w:val="007F6E96"/>
    <w:rsid w:val="008058D7"/>
    <w:rsid w:val="00810814"/>
    <w:rsid w:val="00815F9B"/>
    <w:rsid w:val="00816E71"/>
    <w:rsid w:val="00842048"/>
    <w:rsid w:val="0084536E"/>
    <w:rsid w:val="00852871"/>
    <w:rsid w:val="008561B2"/>
    <w:rsid w:val="00862CDE"/>
    <w:rsid w:val="00873EAB"/>
    <w:rsid w:val="00883758"/>
    <w:rsid w:val="00895E23"/>
    <w:rsid w:val="008969EF"/>
    <w:rsid w:val="008A61AC"/>
    <w:rsid w:val="008B72EA"/>
    <w:rsid w:val="008B77B4"/>
    <w:rsid w:val="008E0C51"/>
    <w:rsid w:val="008E63D8"/>
    <w:rsid w:val="008F6CEC"/>
    <w:rsid w:val="00903DFD"/>
    <w:rsid w:val="0090650D"/>
    <w:rsid w:val="00911266"/>
    <w:rsid w:val="0092205A"/>
    <w:rsid w:val="009373D2"/>
    <w:rsid w:val="0094137E"/>
    <w:rsid w:val="009467C9"/>
    <w:rsid w:val="00946A4B"/>
    <w:rsid w:val="0096791D"/>
    <w:rsid w:val="00982A81"/>
    <w:rsid w:val="00986559"/>
    <w:rsid w:val="00993E70"/>
    <w:rsid w:val="009C2901"/>
    <w:rsid w:val="009C6745"/>
    <w:rsid w:val="009C6DB9"/>
    <w:rsid w:val="009D2A92"/>
    <w:rsid w:val="009E02AD"/>
    <w:rsid w:val="009F1612"/>
    <w:rsid w:val="009F29AC"/>
    <w:rsid w:val="009F33CB"/>
    <w:rsid w:val="00A15D80"/>
    <w:rsid w:val="00A24FE4"/>
    <w:rsid w:val="00A52E2A"/>
    <w:rsid w:val="00A56880"/>
    <w:rsid w:val="00A631BE"/>
    <w:rsid w:val="00A70C85"/>
    <w:rsid w:val="00A912B8"/>
    <w:rsid w:val="00A972CE"/>
    <w:rsid w:val="00AA01CB"/>
    <w:rsid w:val="00AA0560"/>
    <w:rsid w:val="00AA15B7"/>
    <w:rsid w:val="00AB06C0"/>
    <w:rsid w:val="00AB1717"/>
    <w:rsid w:val="00AC7FC7"/>
    <w:rsid w:val="00AE2029"/>
    <w:rsid w:val="00AF1D17"/>
    <w:rsid w:val="00AF2A9F"/>
    <w:rsid w:val="00AF3B73"/>
    <w:rsid w:val="00B04D68"/>
    <w:rsid w:val="00B13ED0"/>
    <w:rsid w:val="00B36A1D"/>
    <w:rsid w:val="00B37718"/>
    <w:rsid w:val="00B51687"/>
    <w:rsid w:val="00B62728"/>
    <w:rsid w:val="00B63E9F"/>
    <w:rsid w:val="00B6761B"/>
    <w:rsid w:val="00B7047E"/>
    <w:rsid w:val="00B7187F"/>
    <w:rsid w:val="00B74BD1"/>
    <w:rsid w:val="00B9717F"/>
    <w:rsid w:val="00B97208"/>
    <w:rsid w:val="00BA73DE"/>
    <w:rsid w:val="00BB0E17"/>
    <w:rsid w:val="00BB3C88"/>
    <w:rsid w:val="00BD07AF"/>
    <w:rsid w:val="00BD685A"/>
    <w:rsid w:val="00BE038E"/>
    <w:rsid w:val="00C01500"/>
    <w:rsid w:val="00C0368B"/>
    <w:rsid w:val="00C063D5"/>
    <w:rsid w:val="00C17FE2"/>
    <w:rsid w:val="00C20414"/>
    <w:rsid w:val="00C229A9"/>
    <w:rsid w:val="00C352B1"/>
    <w:rsid w:val="00C35E30"/>
    <w:rsid w:val="00C36209"/>
    <w:rsid w:val="00C46F12"/>
    <w:rsid w:val="00C477BC"/>
    <w:rsid w:val="00C616B0"/>
    <w:rsid w:val="00C65A41"/>
    <w:rsid w:val="00C736C1"/>
    <w:rsid w:val="00C7407E"/>
    <w:rsid w:val="00C862A5"/>
    <w:rsid w:val="00C92405"/>
    <w:rsid w:val="00CA4F72"/>
    <w:rsid w:val="00CB0768"/>
    <w:rsid w:val="00CB6552"/>
    <w:rsid w:val="00CC2348"/>
    <w:rsid w:val="00CE2837"/>
    <w:rsid w:val="00CE2F0E"/>
    <w:rsid w:val="00CF38E2"/>
    <w:rsid w:val="00CF5E33"/>
    <w:rsid w:val="00D05936"/>
    <w:rsid w:val="00D165BD"/>
    <w:rsid w:val="00D17FE9"/>
    <w:rsid w:val="00D433DB"/>
    <w:rsid w:val="00D4528A"/>
    <w:rsid w:val="00D456D1"/>
    <w:rsid w:val="00D66A9D"/>
    <w:rsid w:val="00D718CF"/>
    <w:rsid w:val="00D73098"/>
    <w:rsid w:val="00D84BC4"/>
    <w:rsid w:val="00D96760"/>
    <w:rsid w:val="00DC1D81"/>
    <w:rsid w:val="00DE0F7F"/>
    <w:rsid w:val="00DE713F"/>
    <w:rsid w:val="00DE7670"/>
    <w:rsid w:val="00DF5A39"/>
    <w:rsid w:val="00E12D75"/>
    <w:rsid w:val="00E234A6"/>
    <w:rsid w:val="00E24884"/>
    <w:rsid w:val="00E249CC"/>
    <w:rsid w:val="00E27C98"/>
    <w:rsid w:val="00E3347B"/>
    <w:rsid w:val="00E43133"/>
    <w:rsid w:val="00E52DFE"/>
    <w:rsid w:val="00E60A0A"/>
    <w:rsid w:val="00E80237"/>
    <w:rsid w:val="00E85404"/>
    <w:rsid w:val="00EA6A7D"/>
    <w:rsid w:val="00EB2922"/>
    <w:rsid w:val="00EC532B"/>
    <w:rsid w:val="00ED5DBE"/>
    <w:rsid w:val="00EF6BCB"/>
    <w:rsid w:val="00F06498"/>
    <w:rsid w:val="00F07C75"/>
    <w:rsid w:val="00F21212"/>
    <w:rsid w:val="00F3710D"/>
    <w:rsid w:val="00F37E6B"/>
    <w:rsid w:val="00F41978"/>
    <w:rsid w:val="00F57B39"/>
    <w:rsid w:val="00F810E6"/>
    <w:rsid w:val="00F91312"/>
    <w:rsid w:val="00F92D5B"/>
    <w:rsid w:val="00FA77D7"/>
    <w:rsid w:val="00FE6B9F"/>
    <w:rsid w:val="00FF0287"/>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A3B5E8"/>
  <w15:docId w15:val="{B85CB18B-A4E9-4DF3-87B5-66B0CF10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85"/>
    <w:rPr>
      <w:rFonts w:cs="Arial"/>
    </w:rPr>
  </w:style>
  <w:style w:type="paragraph" w:styleId="Titlu2">
    <w:name w:val="heading 2"/>
    <w:basedOn w:val="Normal"/>
    <w:next w:val="Normal"/>
    <w:link w:val="Titlu2Caracter"/>
    <w:uiPriority w:val="9"/>
    <w:semiHidden/>
    <w:unhideWhenUsed/>
    <w:qFormat/>
    <w:rsid w:val="005A3363"/>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uiPriority w:val="99"/>
    <w:semiHidden/>
    <w:rsid w:val="00AA0560"/>
    <w:rPr>
      <w:color w:val="808080"/>
    </w:rPr>
  </w:style>
  <w:style w:type="paragraph" w:styleId="Antet">
    <w:name w:val="header"/>
    <w:basedOn w:val="Normal"/>
    <w:link w:val="AntetCaracter"/>
    <w:uiPriority w:val="99"/>
    <w:unhideWhenUsed/>
    <w:rsid w:val="00AB1717"/>
    <w:pPr>
      <w:tabs>
        <w:tab w:val="center" w:pos="4536"/>
        <w:tab w:val="right" w:pos="9072"/>
      </w:tabs>
    </w:pPr>
  </w:style>
  <w:style w:type="character" w:customStyle="1" w:styleId="AntetCaracter">
    <w:name w:val="Antet Caracter"/>
    <w:basedOn w:val="Fontdeparagrafimplicit"/>
    <w:link w:val="Antet"/>
    <w:uiPriority w:val="99"/>
    <w:rsid w:val="00AB1717"/>
    <w:rPr>
      <w:rFonts w:cs="Arial"/>
    </w:rPr>
  </w:style>
  <w:style w:type="paragraph" w:styleId="Subsol">
    <w:name w:val="footer"/>
    <w:basedOn w:val="Normal"/>
    <w:link w:val="SubsolCaracter"/>
    <w:uiPriority w:val="99"/>
    <w:unhideWhenUsed/>
    <w:rsid w:val="00AB1717"/>
    <w:pPr>
      <w:tabs>
        <w:tab w:val="center" w:pos="4536"/>
        <w:tab w:val="right" w:pos="9072"/>
      </w:tabs>
    </w:pPr>
  </w:style>
  <w:style w:type="character" w:customStyle="1" w:styleId="SubsolCaracter">
    <w:name w:val="Subsol Caracter"/>
    <w:basedOn w:val="Fontdeparagrafimplicit"/>
    <w:link w:val="Subsol"/>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Accentuat">
    <w:name w:val="Emphasis"/>
    <w:basedOn w:val="Fontdeparagrafimplicit"/>
    <w:uiPriority w:val="20"/>
    <w:qFormat/>
    <w:rsid w:val="0067399A"/>
    <w:rPr>
      <w:i/>
      <w:iCs/>
    </w:rPr>
  </w:style>
  <w:style w:type="character" w:styleId="Robust">
    <w:name w:val="Strong"/>
    <w:basedOn w:val="Fontdeparagrafimplicit"/>
    <w:uiPriority w:val="22"/>
    <w:qFormat/>
    <w:rsid w:val="00722A18"/>
    <w:rPr>
      <w:b/>
      <w:bCs/>
    </w:rPr>
  </w:style>
  <w:style w:type="paragraph" w:styleId="Listparagraf">
    <w:name w:val="List Paragraph"/>
    <w:basedOn w:val="Normal"/>
    <w:uiPriority w:val="34"/>
    <w:qFormat/>
    <w:rsid w:val="0049310D"/>
    <w:pPr>
      <w:ind w:left="720"/>
      <w:contextualSpacing/>
    </w:pPr>
  </w:style>
  <w:style w:type="table" w:styleId="Tabelgril">
    <w:name w:val="Table Grid"/>
    <w:basedOn w:val="TabelNormal"/>
    <w:uiPriority w:val="39"/>
    <w:rsid w:val="007D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ist6Colorat-Accentuare51">
    <w:name w:val="Tabel listă 6 Colorat - Accentuare 51"/>
    <w:basedOn w:val="TabelNormal"/>
    <w:uiPriority w:val="51"/>
    <w:rsid w:val="007D43FF"/>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elNormal"/>
    <w:uiPriority w:val="51"/>
    <w:rsid w:val="007D43F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elNormal"/>
    <w:uiPriority w:val="46"/>
    <w:rsid w:val="008E0C5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Fontdeparagrafimplicit"/>
    <w:uiPriority w:val="99"/>
    <w:unhideWhenUsed/>
    <w:rsid w:val="00AB06C0"/>
    <w:rPr>
      <w:color w:val="0563C1" w:themeColor="hyperlink"/>
      <w:u w:val="single"/>
    </w:rPr>
  </w:style>
  <w:style w:type="character" w:customStyle="1" w:styleId="MeniuneNerezolvat1">
    <w:name w:val="Mențiune Nerezolvat1"/>
    <w:basedOn w:val="Fontdeparagrafimplicit"/>
    <w:uiPriority w:val="99"/>
    <w:semiHidden/>
    <w:unhideWhenUsed/>
    <w:rsid w:val="000050A0"/>
    <w:rPr>
      <w:color w:val="605E5C"/>
      <w:shd w:val="clear" w:color="auto" w:fill="E1DFDD"/>
    </w:rPr>
  </w:style>
  <w:style w:type="table" w:customStyle="1" w:styleId="Tabellist6Colorat-Accentuare11">
    <w:name w:val="Tabel listă 6 Colorat - Accentuare 11"/>
    <w:basedOn w:val="TabelNormal"/>
    <w:uiPriority w:val="51"/>
    <w:rsid w:val="002D37DF"/>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notdesubsol">
    <w:name w:val="footnote text"/>
    <w:basedOn w:val="Normal"/>
    <w:link w:val="TextnotdesubsolCaracter"/>
    <w:uiPriority w:val="99"/>
    <w:semiHidden/>
    <w:unhideWhenUsed/>
    <w:rsid w:val="00B04D68"/>
  </w:style>
  <w:style w:type="character" w:customStyle="1" w:styleId="TextnotdesubsolCaracter">
    <w:name w:val="Text notă de subsol Caracter"/>
    <w:basedOn w:val="Fontdeparagrafimplicit"/>
    <w:link w:val="Textnotdesubsol"/>
    <w:uiPriority w:val="99"/>
    <w:semiHidden/>
    <w:rsid w:val="00B04D68"/>
    <w:rPr>
      <w:rFonts w:cs="Arial"/>
    </w:rPr>
  </w:style>
  <w:style w:type="character" w:styleId="Referinnotdesubsol">
    <w:name w:val="footnote reference"/>
    <w:basedOn w:val="Fontdeparagrafimplicit"/>
    <w:uiPriority w:val="99"/>
    <w:semiHidden/>
    <w:unhideWhenUsed/>
    <w:rsid w:val="00B04D68"/>
    <w:rPr>
      <w:vertAlign w:val="superscript"/>
    </w:rPr>
  </w:style>
  <w:style w:type="paragraph" w:styleId="TextnBalon">
    <w:name w:val="Balloon Text"/>
    <w:basedOn w:val="Normal"/>
    <w:link w:val="TextnBalonCaracter"/>
    <w:uiPriority w:val="99"/>
    <w:semiHidden/>
    <w:unhideWhenUsed/>
    <w:rsid w:val="008969E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969EF"/>
    <w:rPr>
      <w:rFonts w:ascii="Tahoma" w:hAnsi="Tahoma" w:cs="Tahoma"/>
      <w:sz w:val="16"/>
      <w:szCs w:val="16"/>
    </w:rPr>
  </w:style>
  <w:style w:type="table" w:customStyle="1" w:styleId="TableGrid1">
    <w:name w:val="Table Grid1"/>
    <w:basedOn w:val="TabelNormal"/>
    <w:next w:val="Tabelgril"/>
    <w:uiPriority w:val="59"/>
    <w:rsid w:val="005A3363"/>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1">
    <w:name w:val="Stil1"/>
    <w:basedOn w:val="Titlu2"/>
    <w:link w:val="Stil1Caracter"/>
    <w:qFormat/>
    <w:rsid w:val="005A3363"/>
    <w:pPr>
      <w:shd w:val="clear" w:color="auto" w:fill="C00000"/>
      <w:spacing w:before="40" w:line="276" w:lineRule="auto"/>
    </w:pPr>
    <w:rPr>
      <w:rFonts w:ascii="Times New Roman" w:hAnsi="Times New Roman"/>
      <w:bCs w:val="0"/>
      <w:color w:val="FFFFFF" w:themeColor="background1"/>
      <w:sz w:val="28"/>
      <w:szCs w:val="24"/>
      <w:lang w:eastAsia="en-US"/>
    </w:rPr>
  </w:style>
  <w:style w:type="character" w:customStyle="1" w:styleId="Stil1Caracter">
    <w:name w:val="Stil1 Caracter"/>
    <w:basedOn w:val="Titlu2Caracter"/>
    <w:link w:val="Stil1"/>
    <w:rsid w:val="005A3363"/>
    <w:rPr>
      <w:rFonts w:ascii="Times New Roman" w:eastAsiaTheme="majorEastAsia" w:hAnsi="Times New Roman" w:cstheme="majorBidi"/>
      <w:b/>
      <w:bCs w:val="0"/>
      <w:color w:val="FFFFFF" w:themeColor="background1"/>
      <w:sz w:val="28"/>
      <w:szCs w:val="24"/>
      <w:shd w:val="clear" w:color="auto" w:fill="C00000"/>
      <w:lang w:eastAsia="en-US"/>
    </w:rPr>
  </w:style>
  <w:style w:type="character" w:customStyle="1" w:styleId="Titlu2Caracter">
    <w:name w:val="Titlu 2 Caracter"/>
    <w:basedOn w:val="Fontdeparagrafimplicit"/>
    <w:link w:val="Titlu2"/>
    <w:uiPriority w:val="9"/>
    <w:semiHidden/>
    <w:rsid w:val="005A3363"/>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327102282">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73337142">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00009978">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susramnicul.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lsusramnicul.r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7A730-2BFB-485E-901F-C797864F9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9</TotalTime>
  <Pages>8</Pages>
  <Words>2457</Words>
  <Characters>14254</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Admin Admin</cp:lastModifiedBy>
  <cp:revision>8</cp:revision>
  <cp:lastPrinted>2023-11-01T11:22:00Z</cp:lastPrinted>
  <dcterms:created xsi:type="dcterms:W3CDTF">2025-04-11T01:27:00Z</dcterms:created>
  <dcterms:modified xsi:type="dcterms:W3CDTF">2025-04-23T09:29:00Z</dcterms:modified>
</cp:coreProperties>
</file>